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369A5" w14:textId="77777777" w:rsidR="00CA0240" w:rsidRPr="005819D8" w:rsidRDefault="00CA0240" w:rsidP="005819D8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bookmarkStart w:id="0" w:name="_Hlk73697197"/>
    </w:p>
    <w:p w14:paraId="3A188C46" w14:textId="77777777" w:rsidR="00CA0240" w:rsidRPr="005819D8" w:rsidRDefault="00CA0240" w:rsidP="005819D8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ACA2F25" w14:textId="77777777" w:rsidR="00CA0240" w:rsidRPr="005819D8" w:rsidRDefault="00CA0240" w:rsidP="001D6AE3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5819D8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506C5317" wp14:editId="7C1A3912">
            <wp:extent cx="1295400" cy="817245"/>
            <wp:effectExtent l="0" t="0" r="0" b="0"/>
            <wp:docPr id="196231682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F96DB" w14:textId="77777777" w:rsidR="00CA0240" w:rsidRPr="005819D8" w:rsidRDefault="00CA0240" w:rsidP="005819D8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ECAFF10" w14:textId="77777777" w:rsidR="00CA0240" w:rsidRPr="005819D8" w:rsidRDefault="00CA0240" w:rsidP="005819D8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C0EE0FD" w14:textId="6482020F" w:rsidR="005819D8" w:rsidRPr="001D6AE3" w:rsidRDefault="005819D8" w:rsidP="001D6AE3">
      <w:pPr>
        <w:spacing w:line="276" w:lineRule="auto"/>
        <w:jc w:val="center"/>
        <w:rPr>
          <w:rFonts w:ascii="Calibri" w:hAnsi="Calibri" w:cs="Calibri"/>
          <w:b/>
          <w:bCs/>
          <w:sz w:val="44"/>
          <w:szCs w:val="44"/>
        </w:rPr>
      </w:pPr>
      <w:r w:rsidRPr="001D6AE3">
        <w:rPr>
          <w:rFonts w:ascii="Calibri" w:hAnsi="Calibri" w:cs="Calibri"/>
          <w:b/>
          <w:bCs/>
          <w:sz w:val="44"/>
          <w:szCs w:val="44"/>
        </w:rPr>
        <w:t>STAKEHOLDER COMMUNICATION POLICY</w:t>
      </w:r>
    </w:p>
    <w:p w14:paraId="309AA7BD" w14:textId="37365427" w:rsidR="00CA0240" w:rsidRPr="001D6AE3" w:rsidRDefault="005819D8" w:rsidP="001D6AE3">
      <w:pPr>
        <w:spacing w:line="276" w:lineRule="auto"/>
        <w:jc w:val="center"/>
        <w:rPr>
          <w:rFonts w:ascii="Calibri" w:hAnsi="Calibri" w:cs="Calibri"/>
          <w:b/>
          <w:bCs/>
          <w:sz w:val="44"/>
          <w:szCs w:val="44"/>
        </w:rPr>
      </w:pPr>
      <w:r w:rsidRPr="001D6AE3">
        <w:rPr>
          <w:rFonts w:ascii="Calibri" w:hAnsi="Calibri" w:cs="Calibri"/>
          <w:b/>
          <w:bCs/>
          <w:sz w:val="44"/>
          <w:szCs w:val="44"/>
        </w:rPr>
        <w:t>MARKETING</w:t>
      </w:r>
      <w:r w:rsidR="00CA0240" w:rsidRPr="001D6AE3">
        <w:rPr>
          <w:rFonts w:ascii="Calibri" w:hAnsi="Calibri" w:cs="Calibri"/>
          <w:b/>
          <w:bCs/>
          <w:sz w:val="44"/>
          <w:szCs w:val="44"/>
        </w:rPr>
        <w:t xml:space="preserve"> DEPARTMENT</w:t>
      </w:r>
    </w:p>
    <w:p w14:paraId="16525072" w14:textId="77777777" w:rsidR="005819D8" w:rsidRPr="005819D8" w:rsidRDefault="005819D8" w:rsidP="005819D8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495F8AF" w14:textId="77777777" w:rsidR="00A00727" w:rsidRPr="005819D8" w:rsidRDefault="00A00727" w:rsidP="005819D8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center" w:tblpY="165"/>
        <w:tblW w:w="9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2"/>
        <w:gridCol w:w="6676"/>
      </w:tblGrid>
      <w:tr w:rsidR="00CA0240" w:rsidRPr="005819D8" w14:paraId="009DD17E" w14:textId="77777777" w:rsidTr="005819D8">
        <w:trPr>
          <w:trHeight w:val="272"/>
        </w:trPr>
        <w:tc>
          <w:tcPr>
            <w:tcW w:w="93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2EF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21B808" w14:textId="77777777" w:rsidR="00CA0240" w:rsidRPr="005819D8" w:rsidRDefault="00CA0240" w:rsidP="005819D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5819D8">
              <w:rPr>
                <w:rFonts w:ascii="Calibri" w:hAnsi="Calibri" w:cs="Calibri"/>
                <w:b/>
                <w:bCs/>
                <w:sz w:val="22"/>
                <w:szCs w:val="22"/>
              </w:rPr>
              <w:t>Document Details</w:t>
            </w:r>
          </w:p>
        </w:tc>
      </w:tr>
      <w:tr w:rsidR="00CA0240" w:rsidRPr="005819D8" w14:paraId="61C872AF" w14:textId="77777777" w:rsidTr="005819D8">
        <w:trPr>
          <w:trHeight w:val="565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7A864C" w14:textId="77777777" w:rsidR="00CA0240" w:rsidRPr="005819D8" w:rsidRDefault="00CA0240" w:rsidP="005819D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5819D8">
              <w:rPr>
                <w:rFonts w:ascii="Calibri" w:hAnsi="Calibri" w:cs="Calibri"/>
                <w:b/>
                <w:bCs/>
                <w:sz w:val="22"/>
                <w:szCs w:val="22"/>
              </w:rPr>
              <w:t>Document Name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7EDBF1" w14:textId="6F2192D6" w:rsidR="00CA0240" w:rsidRPr="005819D8" w:rsidRDefault="005819D8" w:rsidP="005819D8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819D8">
              <w:rPr>
                <w:rFonts w:ascii="Calibri" w:hAnsi="Calibri" w:cs="Calibri"/>
                <w:sz w:val="22"/>
                <w:szCs w:val="22"/>
              </w:rPr>
              <w:t>Stakeholder Communication Policy</w:t>
            </w:r>
          </w:p>
        </w:tc>
      </w:tr>
      <w:tr w:rsidR="00CA0240" w:rsidRPr="005819D8" w14:paraId="791B9639" w14:textId="77777777" w:rsidTr="005819D8">
        <w:trPr>
          <w:trHeight w:val="587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E47E03" w14:textId="77777777" w:rsidR="00CA0240" w:rsidRPr="005819D8" w:rsidRDefault="00CA0240" w:rsidP="005819D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19D8">
              <w:rPr>
                <w:rFonts w:ascii="Calibri" w:hAnsi="Calibri" w:cs="Calibri"/>
                <w:b/>
                <w:bCs/>
                <w:sz w:val="22"/>
                <w:szCs w:val="22"/>
              </w:rPr>
              <w:t>Document Type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C31C26" w14:textId="77777777" w:rsidR="00CA0240" w:rsidRPr="005819D8" w:rsidRDefault="00CA0240" w:rsidP="005819D8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819D8">
              <w:rPr>
                <w:rFonts w:ascii="Calibri" w:hAnsi="Calibri" w:cs="Calibri"/>
                <w:sz w:val="22"/>
                <w:szCs w:val="22"/>
              </w:rPr>
              <w:t>Policy</w:t>
            </w:r>
          </w:p>
        </w:tc>
      </w:tr>
      <w:tr w:rsidR="00CA0240" w:rsidRPr="005819D8" w14:paraId="353BFF64" w14:textId="77777777" w:rsidTr="005819D8">
        <w:trPr>
          <w:trHeight w:val="587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5F004B" w14:textId="77777777" w:rsidR="00CA0240" w:rsidRPr="005819D8" w:rsidRDefault="00CA0240" w:rsidP="005819D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19D8">
              <w:rPr>
                <w:rFonts w:ascii="Calibri" w:hAnsi="Calibri" w:cs="Calibri"/>
                <w:b/>
                <w:bCs/>
                <w:sz w:val="22"/>
                <w:szCs w:val="22"/>
              </w:rPr>
              <w:t>Document Version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9B1331" w14:textId="0C2CBFF3" w:rsidR="00CA0240" w:rsidRPr="005819D8" w:rsidRDefault="00CA0240" w:rsidP="005819D8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819D8">
              <w:rPr>
                <w:rFonts w:ascii="Calibri" w:hAnsi="Calibri" w:cs="Calibri"/>
                <w:sz w:val="22"/>
                <w:szCs w:val="22"/>
              </w:rPr>
              <w:t>9PSB/</w:t>
            </w:r>
            <w:r w:rsidR="005819D8" w:rsidRPr="005819D8">
              <w:rPr>
                <w:rFonts w:ascii="Calibri" w:hAnsi="Calibri" w:cs="Calibri"/>
                <w:sz w:val="22"/>
                <w:szCs w:val="22"/>
              </w:rPr>
              <w:t>MarCom</w:t>
            </w:r>
            <w:r w:rsidRPr="005819D8">
              <w:rPr>
                <w:rFonts w:ascii="Calibri" w:hAnsi="Calibri" w:cs="Calibri"/>
                <w:sz w:val="22"/>
                <w:szCs w:val="22"/>
              </w:rPr>
              <w:t>/POLICY/v</w:t>
            </w:r>
            <w:r w:rsidR="00C80530">
              <w:rPr>
                <w:rFonts w:ascii="Calibri" w:hAnsi="Calibri" w:cs="Calibri"/>
                <w:sz w:val="22"/>
                <w:szCs w:val="22"/>
              </w:rPr>
              <w:t>2</w:t>
            </w:r>
            <w:r w:rsidRPr="005819D8">
              <w:rPr>
                <w:rFonts w:ascii="Calibri" w:hAnsi="Calibri" w:cs="Calibri"/>
                <w:sz w:val="22"/>
                <w:szCs w:val="22"/>
              </w:rPr>
              <w:t>.0</w:t>
            </w:r>
          </w:p>
        </w:tc>
      </w:tr>
      <w:tr w:rsidR="00CA0240" w:rsidRPr="005819D8" w14:paraId="7D097E94" w14:textId="77777777" w:rsidTr="005819D8">
        <w:trPr>
          <w:trHeight w:val="593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9C168D5" w14:textId="77777777" w:rsidR="00CA0240" w:rsidRPr="005819D8" w:rsidRDefault="00CA0240" w:rsidP="005819D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5819D8">
              <w:rPr>
                <w:rFonts w:ascii="Calibri" w:hAnsi="Calibri" w:cs="Calibri"/>
                <w:b/>
                <w:bCs/>
                <w:sz w:val="22"/>
                <w:szCs w:val="22"/>
              </w:rPr>
              <w:t>Policy Owner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DF9FFC" w14:textId="564D4B8F" w:rsidR="00CA0240" w:rsidRPr="005819D8" w:rsidRDefault="005819D8" w:rsidP="005819D8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5819D8">
              <w:rPr>
                <w:rFonts w:ascii="Calibri" w:hAnsi="Calibri" w:cs="Calibri"/>
                <w:sz w:val="22"/>
                <w:szCs w:val="22"/>
                <w:lang w:val="en-GB"/>
              </w:rPr>
              <w:t>Chief Marketing Officer</w:t>
            </w:r>
            <w:r w:rsidR="00CA0240" w:rsidRPr="005819D8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</w:p>
        </w:tc>
      </w:tr>
      <w:tr w:rsidR="00CA0240" w:rsidRPr="005819D8" w14:paraId="3DF46AFA" w14:textId="77777777" w:rsidTr="005819D8">
        <w:trPr>
          <w:trHeight w:val="559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49F3AA" w14:textId="77777777" w:rsidR="00CA0240" w:rsidRPr="005819D8" w:rsidRDefault="00CA0240" w:rsidP="005819D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19D8">
              <w:rPr>
                <w:rFonts w:ascii="Calibri" w:hAnsi="Calibri" w:cs="Calibri"/>
                <w:b/>
                <w:bCs/>
                <w:sz w:val="22"/>
                <w:szCs w:val="22"/>
              </w:rPr>
              <w:t>Classification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15C35B" w14:textId="3EFB52CA" w:rsidR="00CA0240" w:rsidRPr="005819D8" w:rsidRDefault="001D6AE3" w:rsidP="005819D8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Internal and </w:t>
            </w:r>
            <w:r w:rsidR="005819D8" w:rsidRPr="005819D8">
              <w:rPr>
                <w:rFonts w:ascii="Calibri" w:hAnsi="Calibri" w:cs="Calibri"/>
                <w:sz w:val="22"/>
                <w:szCs w:val="22"/>
                <w:lang w:val="en-GB"/>
              </w:rPr>
              <w:t>External Use</w:t>
            </w:r>
          </w:p>
        </w:tc>
      </w:tr>
      <w:tr w:rsidR="00CA0240" w:rsidRPr="005819D8" w14:paraId="304F496E" w14:textId="77777777" w:rsidTr="005819D8">
        <w:trPr>
          <w:trHeight w:val="559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BD1751E" w14:textId="77777777" w:rsidR="00CA0240" w:rsidRPr="005819D8" w:rsidRDefault="00CA0240" w:rsidP="005819D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19D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Reviewed By 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D87081F" w14:textId="77777777" w:rsidR="00CA0240" w:rsidRPr="005819D8" w:rsidRDefault="00CA0240" w:rsidP="005819D8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5819D8">
              <w:rPr>
                <w:rFonts w:ascii="Calibri" w:hAnsi="Calibri" w:cs="Calibri"/>
                <w:sz w:val="22"/>
                <w:szCs w:val="22"/>
                <w:lang w:val="en-GB"/>
              </w:rPr>
              <w:t>Executive Committee</w:t>
            </w:r>
          </w:p>
        </w:tc>
      </w:tr>
      <w:tr w:rsidR="00CA0240" w:rsidRPr="005819D8" w14:paraId="68A87EE3" w14:textId="77777777" w:rsidTr="005819D8">
        <w:trPr>
          <w:trHeight w:val="572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D554" w14:textId="77777777" w:rsidR="00CA0240" w:rsidRPr="005819D8" w:rsidRDefault="00CA0240" w:rsidP="005819D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19D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Approved by 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C4E596" w14:textId="48D99D51" w:rsidR="00CA0240" w:rsidRPr="005819D8" w:rsidRDefault="00CA0240" w:rsidP="005819D8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5819D8">
              <w:rPr>
                <w:rFonts w:ascii="Calibri" w:hAnsi="Calibri" w:cs="Calibri"/>
                <w:sz w:val="22"/>
                <w:szCs w:val="22"/>
                <w:lang w:val="en-GB"/>
              </w:rPr>
              <w:t xml:space="preserve">The Board </w:t>
            </w:r>
            <w:r w:rsidR="005819D8" w:rsidRPr="005819D8">
              <w:rPr>
                <w:rFonts w:ascii="Calibri" w:hAnsi="Calibri" w:cs="Calibri"/>
                <w:sz w:val="22"/>
                <w:szCs w:val="22"/>
                <w:lang w:val="en-GB"/>
              </w:rPr>
              <w:t xml:space="preserve">of Directors </w:t>
            </w:r>
          </w:p>
        </w:tc>
      </w:tr>
      <w:tr w:rsidR="00CA0240" w:rsidRPr="005819D8" w14:paraId="4F0E4CD2" w14:textId="77777777" w:rsidTr="005819D8">
        <w:trPr>
          <w:trHeight w:val="572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18AAAD" w14:textId="77777777" w:rsidR="00CA0240" w:rsidRPr="005819D8" w:rsidRDefault="00CA0240" w:rsidP="005819D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5819D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Approved Date 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586B05" w14:textId="77777777" w:rsidR="00CA0240" w:rsidRPr="005819D8" w:rsidRDefault="00CA0240" w:rsidP="005819D8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CA0240" w:rsidRPr="005819D8" w14:paraId="78CD9043" w14:textId="77777777" w:rsidTr="005819D8">
        <w:trPr>
          <w:trHeight w:val="572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A6025B" w14:textId="77777777" w:rsidR="00CA0240" w:rsidRPr="005819D8" w:rsidRDefault="00CA0240" w:rsidP="005819D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19D8">
              <w:rPr>
                <w:rFonts w:ascii="Calibri" w:hAnsi="Calibri" w:cs="Calibri"/>
                <w:b/>
                <w:bCs/>
                <w:sz w:val="22"/>
                <w:szCs w:val="22"/>
              </w:rPr>
              <w:t>Next review date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B556BD" w14:textId="77777777" w:rsidR="00CA0240" w:rsidRPr="005819D8" w:rsidRDefault="00CA0240" w:rsidP="005819D8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CA0240" w:rsidRPr="005819D8" w14:paraId="7327F609" w14:textId="77777777" w:rsidTr="005819D8">
        <w:trPr>
          <w:trHeight w:val="609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2440FF" w14:textId="77777777" w:rsidR="00CA0240" w:rsidRPr="005819D8" w:rsidRDefault="00CA0240" w:rsidP="005819D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5819D8">
              <w:rPr>
                <w:rFonts w:ascii="Calibri" w:hAnsi="Calibri" w:cs="Calibri"/>
                <w:b/>
                <w:bCs/>
                <w:sz w:val="22"/>
                <w:szCs w:val="22"/>
              </w:rPr>
              <w:t>Contact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DE246A" w14:textId="4047C298" w:rsidR="00CA0240" w:rsidRPr="005819D8" w:rsidRDefault="0095344B" w:rsidP="005819D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hyperlink r:id="rId9" w:history="1">
              <w:r w:rsidRPr="0072149E"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</w:rPr>
                <w:t>marketingcommunications@9psb.com.ng</w:t>
              </w:r>
            </w:hyperlink>
            <w:r w:rsidR="00CA0240" w:rsidRPr="005819D8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5F16A26A" w14:textId="77777777" w:rsidR="00CA0240" w:rsidRPr="001D6AE3" w:rsidRDefault="00CA0240" w:rsidP="005819D8">
      <w:pPr>
        <w:spacing w:line="276" w:lineRule="auto"/>
        <w:jc w:val="both"/>
        <w:rPr>
          <w:rFonts w:ascii="Calibri" w:hAnsi="Calibri" w:cs="Calibri"/>
          <w:b/>
          <w:bCs/>
          <w:sz w:val="16"/>
          <w:szCs w:val="16"/>
          <w:lang w:val="en-GB"/>
        </w:rPr>
      </w:pPr>
    </w:p>
    <w:p w14:paraId="79217457" w14:textId="77777777" w:rsidR="00CA0240" w:rsidRDefault="00CA0240" w:rsidP="005819D8">
      <w:pPr>
        <w:pStyle w:val="TOCHeading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6780E62" w14:textId="77777777" w:rsidR="00715FC7" w:rsidRDefault="00715FC7" w:rsidP="00715FC7"/>
    <w:p w14:paraId="75DF0342" w14:textId="77777777" w:rsidR="00715FC7" w:rsidRPr="00715FC7" w:rsidRDefault="00715FC7" w:rsidP="00715FC7"/>
    <w:p w14:paraId="137923C6" w14:textId="77777777" w:rsidR="00CA0240" w:rsidRPr="005819D8" w:rsidRDefault="00CA0240" w:rsidP="005819D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95E1835" w14:textId="77777777" w:rsidR="00CA0240" w:rsidRDefault="00CA0240" w:rsidP="005819D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2C667CE" w14:textId="77777777" w:rsidR="00E3692A" w:rsidRPr="005819D8" w:rsidRDefault="00E3692A" w:rsidP="005819D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9D3625A" w14:textId="77777777" w:rsidR="00CA0240" w:rsidRPr="005819D8" w:rsidRDefault="00CA0240" w:rsidP="005819D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D70D9E8" w14:textId="77777777" w:rsidR="00CA0240" w:rsidRPr="005819D8" w:rsidRDefault="00CA0240" w:rsidP="005819D8">
      <w:pPr>
        <w:pStyle w:val="TOCHeading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819D8">
        <w:rPr>
          <w:rFonts w:ascii="Calibri" w:hAnsi="Calibri" w:cs="Calibri"/>
          <w:sz w:val="22"/>
          <w:szCs w:val="22"/>
        </w:rPr>
        <w:lastRenderedPageBreak/>
        <w:t>Table of Contents</w:t>
      </w:r>
    </w:p>
    <w:p w14:paraId="4D64707F" w14:textId="77777777" w:rsidR="00CA0240" w:rsidRPr="005819D8" w:rsidRDefault="00CA0240" w:rsidP="005819D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F11C016" w14:textId="4553203D" w:rsidR="00E70960" w:rsidRDefault="00CA0240">
      <w:pPr>
        <w:pStyle w:val="TOC1"/>
        <w:tabs>
          <w:tab w:val="left" w:pos="480"/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 w:rsidRPr="005819D8">
        <w:rPr>
          <w:rFonts w:ascii="Calibri" w:hAnsi="Calibri" w:cs="Calibri"/>
          <w:sz w:val="22"/>
          <w:szCs w:val="22"/>
        </w:rPr>
        <w:fldChar w:fldCharType="begin"/>
      </w:r>
      <w:r w:rsidRPr="005819D8">
        <w:rPr>
          <w:rFonts w:ascii="Calibri" w:hAnsi="Calibri" w:cs="Calibri"/>
          <w:sz w:val="22"/>
          <w:szCs w:val="22"/>
        </w:rPr>
        <w:instrText xml:space="preserve"> TOC \o "1-3" \h \z \u </w:instrText>
      </w:r>
      <w:r w:rsidRPr="005819D8">
        <w:rPr>
          <w:rFonts w:ascii="Calibri" w:hAnsi="Calibri" w:cs="Calibri"/>
          <w:sz w:val="22"/>
          <w:szCs w:val="22"/>
        </w:rPr>
        <w:fldChar w:fldCharType="separate"/>
      </w:r>
      <w:hyperlink w:anchor="_Toc183633260" w:history="1">
        <w:r w:rsidR="00E70960" w:rsidRPr="0020054E">
          <w:rPr>
            <w:rStyle w:val="Hyperlink"/>
            <w:rFonts w:ascii="Calibri" w:hAnsi="Calibri" w:cs="Calibri"/>
            <w:noProof/>
          </w:rPr>
          <w:t>1.</w:t>
        </w:r>
        <w:r w:rsidR="00E70960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E70960" w:rsidRPr="0020054E">
          <w:rPr>
            <w:rStyle w:val="Hyperlink"/>
            <w:rFonts w:ascii="Calibri" w:hAnsi="Calibri" w:cs="Calibri"/>
            <w:noProof/>
          </w:rPr>
          <w:t>Introduction</w:t>
        </w:r>
        <w:r w:rsidR="00E70960">
          <w:rPr>
            <w:noProof/>
            <w:webHidden/>
          </w:rPr>
          <w:tab/>
        </w:r>
        <w:r w:rsidR="00E70960">
          <w:rPr>
            <w:noProof/>
            <w:webHidden/>
          </w:rPr>
          <w:fldChar w:fldCharType="begin"/>
        </w:r>
        <w:r w:rsidR="00E70960">
          <w:rPr>
            <w:noProof/>
            <w:webHidden/>
          </w:rPr>
          <w:instrText xml:space="preserve"> PAGEREF _Toc183633260 \h </w:instrText>
        </w:r>
        <w:r w:rsidR="00E70960">
          <w:rPr>
            <w:noProof/>
            <w:webHidden/>
          </w:rPr>
        </w:r>
        <w:r w:rsidR="00E70960">
          <w:rPr>
            <w:noProof/>
            <w:webHidden/>
          </w:rPr>
          <w:fldChar w:fldCharType="separate"/>
        </w:r>
        <w:r w:rsidR="00E70960">
          <w:rPr>
            <w:noProof/>
            <w:webHidden/>
          </w:rPr>
          <w:t>3</w:t>
        </w:r>
        <w:r w:rsidR="00E70960">
          <w:rPr>
            <w:noProof/>
            <w:webHidden/>
          </w:rPr>
          <w:fldChar w:fldCharType="end"/>
        </w:r>
      </w:hyperlink>
    </w:p>
    <w:p w14:paraId="0702D62D" w14:textId="416444C7" w:rsidR="00E70960" w:rsidRDefault="00E70960">
      <w:pPr>
        <w:pStyle w:val="TOC1"/>
        <w:tabs>
          <w:tab w:val="left" w:pos="480"/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3633261" w:history="1">
        <w:r w:rsidRPr="0020054E">
          <w:rPr>
            <w:rStyle w:val="Hyperlink"/>
            <w:rFonts w:ascii="Calibri" w:hAnsi="Calibri" w:cs="Calibri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20054E">
          <w:rPr>
            <w:rStyle w:val="Hyperlink"/>
            <w:rFonts w:ascii="Calibri" w:hAnsi="Calibri" w:cs="Calibri"/>
            <w:noProof/>
          </w:rPr>
          <w:t>Purpose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_Toc183633261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2DF2915" w14:textId="64CC1E0E" w:rsidR="00E70960" w:rsidRDefault="00E70960">
      <w:pPr>
        <w:pStyle w:val="TOC1"/>
        <w:tabs>
          <w:tab w:val="left" w:pos="480"/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3633262" w:history="1">
        <w:r w:rsidRPr="0020054E">
          <w:rPr>
            <w:rStyle w:val="Hyperlink"/>
            <w:rFonts w:ascii="Calibri" w:hAnsi="Calibri" w:cs="Calibri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20054E">
          <w:rPr>
            <w:rStyle w:val="Hyperlink"/>
            <w:rFonts w:ascii="Calibri" w:hAnsi="Calibri" w:cs="Calibri"/>
            <w:noProof/>
          </w:rPr>
          <w:t>Scope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_Toc183633262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637CEF7" w14:textId="442DA957" w:rsidR="00E70960" w:rsidRDefault="00E70960">
      <w:pPr>
        <w:pStyle w:val="TOC1"/>
        <w:tabs>
          <w:tab w:val="left" w:pos="480"/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3633263" w:history="1">
        <w:r w:rsidRPr="0020054E">
          <w:rPr>
            <w:rStyle w:val="Hyperlink"/>
            <w:rFonts w:ascii="Calibri" w:hAnsi="Calibri" w:cs="Calibri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20054E">
          <w:rPr>
            <w:rStyle w:val="Hyperlink"/>
            <w:rFonts w:ascii="Calibri" w:hAnsi="Calibri" w:cs="Calibri"/>
            <w:noProof/>
          </w:rPr>
          <w:t>Guiding Principles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_Toc183633263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60BA661" w14:textId="24D70238" w:rsidR="00E70960" w:rsidRDefault="00E70960">
      <w:pPr>
        <w:pStyle w:val="TOC1"/>
        <w:tabs>
          <w:tab w:val="left" w:pos="480"/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3633264" w:history="1">
        <w:r w:rsidRPr="0020054E">
          <w:rPr>
            <w:rStyle w:val="Hyperlink"/>
            <w:rFonts w:ascii="Calibri" w:hAnsi="Calibri" w:cs="Calibri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20054E">
          <w:rPr>
            <w:rStyle w:val="Hyperlink"/>
            <w:rFonts w:ascii="Calibri" w:hAnsi="Calibri" w:cs="Calibri"/>
            <w:noProof/>
          </w:rPr>
          <w:t>Communication Channels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_Toc183633264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7FAD079" w14:textId="0FE480DF" w:rsidR="00E70960" w:rsidRDefault="00E70960">
      <w:pPr>
        <w:pStyle w:val="TOC1"/>
        <w:tabs>
          <w:tab w:val="left" w:pos="480"/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3633265" w:history="1">
        <w:r w:rsidRPr="0020054E">
          <w:rPr>
            <w:rStyle w:val="Hyperlink"/>
            <w:rFonts w:ascii="Calibri" w:hAnsi="Calibri" w:cs="Calibri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20054E">
          <w:rPr>
            <w:rStyle w:val="Hyperlink"/>
            <w:rFonts w:ascii="Calibri" w:hAnsi="Calibri" w:cs="Calibri"/>
            <w:noProof/>
          </w:rPr>
          <w:t>Key Communication Activities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_Toc183633265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C1C87E7" w14:textId="23B2E571" w:rsidR="00E70960" w:rsidRDefault="00E70960">
      <w:pPr>
        <w:pStyle w:val="TOC1"/>
        <w:tabs>
          <w:tab w:val="left" w:pos="480"/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3633266" w:history="1">
        <w:r w:rsidRPr="0020054E">
          <w:rPr>
            <w:rStyle w:val="Hyperlink"/>
            <w:rFonts w:ascii="Calibri" w:hAnsi="Calibri" w:cs="Calibri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20054E">
          <w:rPr>
            <w:rStyle w:val="Hyperlink"/>
            <w:rFonts w:ascii="Calibri" w:hAnsi="Calibri" w:cs="Calibri"/>
            <w:noProof/>
          </w:rPr>
          <w:t>Roles and Responsibilities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_Toc183633266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D966981" w14:textId="65923D67" w:rsidR="00E70960" w:rsidRDefault="00E70960">
      <w:pPr>
        <w:pStyle w:val="TOC1"/>
        <w:tabs>
          <w:tab w:val="left" w:pos="480"/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3633267" w:history="1">
        <w:r w:rsidRPr="0020054E">
          <w:rPr>
            <w:rStyle w:val="Hyperlink"/>
            <w:rFonts w:ascii="Calibri" w:hAnsi="Calibri" w:cs="Calibri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20054E">
          <w:rPr>
            <w:rStyle w:val="Hyperlink"/>
            <w:rFonts w:ascii="Calibri" w:hAnsi="Calibri" w:cs="Calibri"/>
            <w:noProof/>
          </w:rPr>
          <w:t>Monitoring and Evaluation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_Toc183633267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E5A69BB" w14:textId="146E5AD3" w:rsidR="00E70960" w:rsidRDefault="00E70960">
      <w:pPr>
        <w:pStyle w:val="TOC1"/>
        <w:tabs>
          <w:tab w:val="left" w:pos="480"/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3633268" w:history="1">
        <w:r w:rsidRPr="0020054E">
          <w:rPr>
            <w:rStyle w:val="Hyperlink"/>
            <w:rFonts w:ascii="Calibri" w:hAnsi="Calibri" w:cs="Calibri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20054E">
          <w:rPr>
            <w:rStyle w:val="Hyperlink"/>
            <w:rFonts w:ascii="Calibri" w:hAnsi="Calibri" w:cs="Calibri"/>
            <w:noProof/>
          </w:rPr>
          <w:t>Policy Review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_Toc183633268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D970C0B" w14:textId="3B2BC14C" w:rsidR="00E70960" w:rsidRDefault="00E70960">
      <w:pPr>
        <w:pStyle w:val="TOC1"/>
        <w:tabs>
          <w:tab w:val="left" w:pos="720"/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3633269" w:history="1">
        <w:r w:rsidRPr="0020054E">
          <w:rPr>
            <w:rStyle w:val="Hyperlink"/>
            <w:rFonts w:ascii="Calibri" w:hAnsi="Calibri" w:cs="Calibri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20054E">
          <w:rPr>
            <w:rStyle w:val="Hyperlink"/>
            <w:rFonts w:ascii="Calibri" w:hAnsi="Calibri" w:cs="Calibri"/>
            <w:noProof/>
          </w:rPr>
          <w:t>Approval and Implementation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_Toc183633269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6B5C50F" w14:textId="3791C0BB" w:rsidR="00E70960" w:rsidRDefault="00E70960">
      <w:pPr>
        <w:pStyle w:val="TOC1"/>
        <w:tabs>
          <w:tab w:val="left" w:pos="720"/>
          <w:tab w:val="right" w:leader="dot" w:pos="9016"/>
        </w:tabs>
        <w:rPr>
          <w:noProof/>
        </w:rPr>
      </w:pPr>
      <w:hyperlink w:anchor="_Toc183633270" w:history="1">
        <w:r w:rsidRPr="0020054E">
          <w:rPr>
            <w:rStyle w:val="Hyperlink"/>
            <w:rFonts w:ascii="Calibri" w:hAnsi="Calibri" w:cs="Calibri"/>
            <w:noProof/>
          </w:rPr>
          <w:t>11.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C82470">
          <w:rPr>
            <w:rStyle w:val="Hyperlink"/>
            <w:rFonts w:ascii="Calibri" w:hAnsi="Calibri" w:cs="Calibri"/>
            <w:noProof/>
          </w:rPr>
          <w:t>Enquiries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_Toc183633270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0C963BD" w14:textId="6D72A555" w:rsidR="00C82470" w:rsidRDefault="00C82470" w:rsidP="00C82470">
      <w:pPr>
        <w:pStyle w:val="TOC1"/>
        <w:tabs>
          <w:tab w:val="left" w:pos="720"/>
          <w:tab w:val="right" w:leader="dot" w:pos="9016"/>
        </w:tabs>
        <w:rPr>
          <w:noProof/>
        </w:rPr>
      </w:pPr>
      <w:hyperlink w:anchor="_Toc183633270" w:history="1">
        <w:r w:rsidRPr="0020054E">
          <w:rPr>
            <w:rStyle w:val="Hyperlink"/>
            <w:rFonts w:ascii="Calibri" w:hAnsi="Calibri" w:cs="Calibri"/>
            <w:noProof/>
          </w:rPr>
          <w:t>1</w:t>
        </w:r>
        <w:r>
          <w:rPr>
            <w:rStyle w:val="Hyperlink"/>
            <w:rFonts w:ascii="Calibri" w:hAnsi="Calibri" w:cs="Calibri"/>
            <w:noProof/>
          </w:rPr>
          <w:t>2</w:t>
        </w:r>
        <w:r w:rsidRPr="0020054E">
          <w:rPr>
            <w:rStyle w:val="Hyperlink"/>
            <w:rFonts w:ascii="Calibri" w:hAnsi="Calibri" w:cs="Calibri"/>
            <w:noProof/>
          </w:rPr>
          <w:t>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>
          <w:rPr>
            <w:rStyle w:val="Hyperlink"/>
            <w:rFonts w:ascii="Calibri" w:hAnsi="Calibri" w:cs="Calibri"/>
            <w:noProof/>
          </w:rPr>
          <w:t>Approvals</w:t>
        </w:r>
        <w:r>
          <w:rPr>
            <w:noProof/>
            <w:webHidden/>
          </w:rPr>
          <w:tab/>
        </w:r>
        <w:r w:rsidR="003938D9">
          <w:rPr>
            <w:noProof/>
            <w:webHidden/>
          </w:rPr>
          <w:t>6</w:t>
        </w:r>
      </w:hyperlink>
    </w:p>
    <w:p w14:paraId="7202CEEE" w14:textId="77777777" w:rsidR="00C82470" w:rsidRPr="00C82470" w:rsidRDefault="00C82470" w:rsidP="00C82470"/>
    <w:p w14:paraId="5D3B9FF5" w14:textId="77777777" w:rsidR="00C82470" w:rsidRPr="00C82470" w:rsidRDefault="00C82470" w:rsidP="00C82470">
      <w:pPr>
        <w:rPr>
          <w:rFonts w:eastAsiaTheme="minorEastAsia"/>
        </w:rPr>
      </w:pPr>
    </w:p>
    <w:p w14:paraId="639E8D71" w14:textId="465599BB" w:rsidR="00CA0240" w:rsidRPr="005819D8" w:rsidRDefault="00CA0240" w:rsidP="005819D8">
      <w:pPr>
        <w:spacing w:line="276" w:lineRule="auto"/>
        <w:ind w:left="-142" w:firstLine="284"/>
        <w:jc w:val="both"/>
        <w:rPr>
          <w:rFonts w:ascii="Calibri" w:hAnsi="Calibri" w:cs="Calibri"/>
          <w:sz w:val="22"/>
          <w:szCs w:val="22"/>
        </w:rPr>
      </w:pPr>
      <w:r w:rsidRPr="005819D8">
        <w:rPr>
          <w:rFonts w:ascii="Calibri" w:hAnsi="Calibri" w:cs="Calibri"/>
          <w:b/>
          <w:bCs/>
          <w:noProof/>
          <w:sz w:val="22"/>
          <w:szCs w:val="22"/>
        </w:rPr>
        <w:fldChar w:fldCharType="end"/>
      </w:r>
    </w:p>
    <w:p w14:paraId="54A5251B" w14:textId="77777777" w:rsidR="00CA0240" w:rsidRPr="005819D8" w:rsidRDefault="00CA0240" w:rsidP="005819D8">
      <w:pPr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</w:p>
    <w:p w14:paraId="5E8D5CB7" w14:textId="77777777" w:rsidR="00CA0240" w:rsidRPr="005819D8" w:rsidRDefault="00CA0240" w:rsidP="005819D8">
      <w:pPr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</w:p>
    <w:p w14:paraId="702AC580" w14:textId="77777777" w:rsidR="00CA0240" w:rsidRPr="005819D8" w:rsidRDefault="00CA0240" w:rsidP="005819D8">
      <w:pPr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</w:p>
    <w:p w14:paraId="33E7A45B" w14:textId="77777777" w:rsidR="00CA0240" w:rsidRPr="005819D8" w:rsidRDefault="00CA0240" w:rsidP="005819D8">
      <w:pPr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</w:p>
    <w:p w14:paraId="5898FD6A" w14:textId="77777777" w:rsidR="00CA0240" w:rsidRPr="005819D8" w:rsidRDefault="00CA0240" w:rsidP="005819D8">
      <w:pPr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</w:p>
    <w:p w14:paraId="003EBADB" w14:textId="77777777" w:rsidR="00CA0240" w:rsidRPr="005819D8" w:rsidRDefault="00CA0240" w:rsidP="005819D8">
      <w:pPr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</w:p>
    <w:p w14:paraId="019313E4" w14:textId="77777777" w:rsidR="00CA0240" w:rsidRPr="005819D8" w:rsidRDefault="00CA0240" w:rsidP="005819D8">
      <w:pPr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</w:p>
    <w:p w14:paraId="026ECB61" w14:textId="77777777" w:rsidR="00CA0240" w:rsidRPr="005819D8" w:rsidRDefault="00CA0240" w:rsidP="005819D8">
      <w:pPr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</w:p>
    <w:p w14:paraId="6F7CF6E7" w14:textId="77777777" w:rsidR="00CA0240" w:rsidRPr="005819D8" w:rsidRDefault="00CA0240" w:rsidP="005819D8">
      <w:pPr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</w:p>
    <w:p w14:paraId="2818F6F4" w14:textId="77777777" w:rsidR="00CA0240" w:rsidRPr="005819D8" w:rsidRDefault="00CA0240" w:rsidP="005819D8">
      <w:pPr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</w:p>
    <w:p w14:paraId="60C6C2EF" w14:textId="77777777" w:rsidR="00CA0240" w:rsidRPr="005819D8" w:rsidRDefault="00CA0240" w:rsidP="005819D8">
      <w:pPr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</w:p>
    <w:p w14:paraId="443131ED" w14:textId="77777777" w:rsidR="00CA0240" w:rsidRPr="005819D8" w:rsidRDefault="00CA0240" w:rsidP="005819D8">
      <w:pPr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</w:p>
    <w:p w14:paraId="2E55288A" w14:textId="77777777" w:rsidR="00CA0240" w:rsidRPr="005819D8" w:rsidRDefault="00CA0240" w:rsidP="005819D8">
      <w:pPr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</w:p>
    <w:p w14:paraId="14010F00" w14:textId="77777777" w:rsidR="00CA0240" w:rsidRPr="005819D8" w:rsidRDefault="00CA0240" w:rsidP="005819D8">
      <w:pPr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</w:p>
    <w:p w14:paraId="07A936D0" w14:textId="77777777" w:rsidR="00CA0240" w:rsidRPr="005819D8" w:rsidRDefault="00CA0240" w:rsidP="005819D8">
      <w:pPr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</w:p>
    <w:p w14:paraId="01A88BCE" w14:textId="77777777" w:rsidR="00CA0240" w:rsidRPr="005819D8" w:rsidRDefault="00CA0240" w:rsidP="005819D8">
      <w:pPr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</w:p>
    <w:p w14:paraId="101A83DA" w14:textId="77777777" w:rsidR="00CA0240" w:rsidRPr="005819D8" w:rsidRDefault="00CA0240" w:rsidP="005819D8">
      <w:pPr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</w:p>
    <w:p w14:paraId="58C7C888" w14:textId="04A96AB3" w:rsidR="00D55867" w:rsidRPr="005819D8" w:rsidRDefault="005819D8" w:rsidP="00600710">
      <w:pPr>
        <w:pStyle w:val="Heading1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32"/>
          <w:szCs w:val="32"/>
        </w:rPr>
      </w:pPr>
      <w:bookmarkStart w:id="1" w:name="_Toc183633260"/>
      <w:bookmarkEnd w:id="0"/>
      <w:r>
        <w:rPr>
          <w:rFonts w:ascii="Calibri" w:hAnsi="Calibri" w:cs="Calibri"/>
          <w:sz w:val="32"/>
          <w:szCs w:val="32"/>
        </w:rPr>
        <w:t>Introduction</w:t>
      </w:r>
      <w:bookmarkEnd w:id="1"/>
    </w:p>
    <w:p w14:paraId="17B30183" w14:textId="272A0CB8" w:rsidR="00C86107" w:rsidRPr="005819D8" w:rsidRDefault="00C86107" w:rsidP="005819D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86107">
        <w:rPr>
          <w:rFonts w:ascii="Calibri" w:hAnsi="Calibri" w:cs="Calibri"/>
          <w:sz w:val="22"/>
          <w:szCs w:val="22"/>
        </w:rPr>
        <w:t xml:space="preserve">At </w:t>
      </w:r>
      <w:r>
        <w:rPr>
          <w:rFonts w:ascii="Calibri" w:hAnsi="Calibri" w:cs="Calibri"/>
          <w:sz w:val="22"/>
          <w:szCs w:val="22"/>
        </w:rPr>
        <w:t xml:space="preserve">9 Payment Service </w:t>
      </w:r>
      <w:r w:rsidRPr="005819D8">
        <w:rPr>
          <w:rFonts w:ascii="Calibri" w:hAnsi="Calibri" w:cs="Calibri"/>
          <w:sz w:val="22"/>
          <w:szCs w:val="22"/>
        </w:rPr>
        <w:t>Bank</w:t>
      </w:r>
      <w:r>
        <w:rPr>
          <w:rFonts w:ascii="Calibri" w:hAnsi="Calibri" w:cs="Calibri"/>
          <w:sz w:val="22"/>
          <w:szCs w:val="22"/>
        </w:rPr>
        <w:t xml:space="preserve"> (“9PSB” or “the Bank”)</w:t>
      </w:r>
      <w:r w:rsidRPr="00C86107">
        <w:rPr>
          <w:rFonts w:ascii="Calibri" w:hAnsi="Calibri" w:cs="Calibri"/>
          <w:sz w:val="22"/>
          <w:szCs w:val="22"/>
        </w:rPr>
        <w:t xml:space="preserve">, we recognize that effective and transparent communication with our stakeholders is fundamental to building trust, enhancing relationships, and achieving our strategic objectives. This Policy </w:t>
      </w:r>
      <w:r w:rsidRPr="005819D8">
        <w:rPr>
          <w:rFonts w:ascii="Calibri" w:hAnsi="Calibri" w:cs="Calibri"/>
          <w:sz w:val="22"/>
          <w:szCs w:val="22"/>
        </w:rPr>
        <w:t xml:space="preserve">framework </w:t>
      </w:r>
      <w:r w:rsidR="00600BBB">
        <w:rPr>
          <w:rFonts w:ascii="Calibri" w:hAnsi="Calibri" w:cs="Calibri"/>
          <w:sz w:val="22"/>
          <w:szCs w:val="22"/>
        </w:rPr>
        <w:t xml:space="preserve">is </w:t>
      </w:r>
      <w:r w:rsidRPr="005819D8">
        <w:rPr>
          <w:rFonts w:ascii="Calibri" w:hAnsi="Calibri" w:cs="Calibri"/>
          <w:sz w:val="22"/>
          <w:szCs w:val="22"/>
        </w:rPr>
        <w:t xml:space="preserve">for engaging with stakeholders, ensuring timely, accurate, and consistent communication </w:t>
      </w:r>
      <w:r w:rsidR="00E77923">
        <w:rPr>
          <w:rFonts w:ascii="Calibri" w:hAnsi="Calibri" w:cs="Calibri"/>
          <w:sz w:val="22"/>
          <w:szCs w:val="22"/>
        </w:rPr>
        <w:t>regarding</w:t>
      </w:r>
      <w:r w:rsidRPr="005819D8">
        <w:rPr>
          <w:rFonts w:ascii="Calibri" w:hAnsi="Calibri" w:cs="Calibri"/>
          <w:sz w:val="22"/>
          <w:szCs w:val="22"/>
        </w:rPr>
        <w:t xml:space="preserve"> the Bank's activities, achievements, </w:t>
      </w:r>
      <w:r w:rsidR="001B26ED">
        <w:rPr>
          <w:rFonts w:ascii="Calibri" w:hAnsi="Calibri" w:cs="Calibri"/>
          <w:sz w:val="22"/>
          <w:szCs w:val="22"/>
        </w:rPr>
        <w:t>updates</w:t>
      </w:r>
      <w:r w:rsidR="00DE3DF2">
        <w:rPr>
          <w:rFonts w:ascii="Calibri" w:hAnsi="Calibri" w:cs="Calibri"/>
          <w:sz w:val="22"/>
          <w:szCs w:val="22"/>
        </w:rPr>
        <w:t xml:space="preserve"> </w:t>
      </w:r>
      <w:r w:rsidRPr="005819D8">
        <w:rPr>
          <w:rFonts w:ascii="Calibri" w:hAnsi="Calibri" w:cs="Calibri"/>
          <w:sz w:val="22"/>
          <w:szCs w:val="22"/>
        </w:rPr>
        <w:t>and strategic direction.</w:t>
      </w:r>
    </w:p>
    <w:p w14:paraId="7DEEC354" w14:textId="77777777" w:rsidR="005819D8" w:rsidRPr="005819D8" w:rsidRDefault="005819D8" w:rsidP="00600710">
      <w:pPr>
        <w:pStyle w:val="Heading1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32"/>
          <w:szCs w:val="32"/>
        </w:rPr>
      </w:pPr>
      <w:bookmarkStart w:id="2" w:name="_Toc183633261"/>
      <w:r w:rsidRPr="005819D8">
        <w:rPr>
          <w:rFonts w:ascii="Calibri" w:hAnsi="Calibri" w:cs="Calibri"/>
          <w:sz w:val="32"/>
          <w:szCs w:val="32"/>
        </w:rPr>
        <w:t>Purpose</w:t>
      </w:r>
      <w:bookmarkEnd w:id="2"/>
    </w:p>
    <w:p w14:paraId="56DE92A8" w14:textId="6BCFEE30" w:rsidR="002531FA" w:rsidRPr="005819D8" w:rsidRDefault="005819D8" w:rsidP="00E3692A">
      <w:pPr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  <w:r w:rsidRPr="005819D8">
        <w:rPr>
          <w:rFonts w:ascii="Calibri" w:hAnsi="Calibri" w:cs="Calibri"/>
          <w:sz w:val="22"/>
          <w:szCs w:val="22"/>
        </w:rPr>
        <w:t>The purpose of this policy is to:</w:t>
      </w:r>
    </w:p>
    <w:p w14:paraId="6009C17D" w14:textId="77777777" w:rsidR="005819D8" w:rsidRPr="005819D8" w:rsidRDefault="005819D8" w:rsidP="00600710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819D8">
        <w:rPr>
          <w:rFonts w:ascii="Calibri" w:hAnsi="Calibri" w:cs="Calibri"/>
          <w:sz w:val="22"/>
          <w:szCs w:val="22"/>
        </w:rPr>
        <w:t>Enhance communication and interaction with stakeholders.</w:t>
      </w:r>
    </w:p>
    <w:p w14:paraId="7150B65E" w14:textId="77777777" w:rsidR="005819D8" w:rsidRPr="005819D8" w:rsidRDefault="005819D8" w:rsidP="00600710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819D8">
        <w:rPr>
          <w:rFonts w:ascii="Calibri" w:hAnsi="Calibri" w:cs="Calibri"/>
          <w:sz w:val="22"/>
          <w:szCs w:val="22"/>
        </w:rPr>
        <w:t>Keep stakeholders informed of the Bank’s activities, initiatives, and performance.</w:t>
      </w:r>
    </w:p>
    <w:p w14:paraId="40712BCF" w14:textId="1336C0AB" w:rsidR="005819D8" w:rsidRPr="005819D8" w:rsidRDefault="005819D8" w:rsidP="00600710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819D8">
        <w:rPr>
          <w:rFonts w:ascii="Calibri" w:hAnsi="Calibri" w:cs="Calibri"/>
          <w:sz w:val="22"/>
          <w:szCs w:val="22"/>
        </w:rPr>
        <w:t>Build trust and foster strong relationship with stakeholders.</w:t>
      </w:r>
    </w:p>
    <w:p w14:paraId="50AA812F" w14:textId="77777777" w:rsidR="005819D8" w:rsidRPr="005819D8" w:rsidRDefault="005819D8" w:rsidP="00600710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819D8">
        <w:rPr>
          <w:rFonts w:ascii="Calibri" w:hAnsi="Calibri" w:cs="Calibri"/>
          <w:sz w:val="22"/>
          <w:szCs w:val="22"/>
        </w:rPr>
        <w:t>Align stakeholder expectations with the Bank’s goals and vision.</w:t>
      </w:r>
    </w:p>
    <w:p w14:paraId="00142439" w14:textId="2BF20171" w:rsidR="00C86107" w:rsidRPr="00C86107" w:rsidRDefault="005819D8" w:rsidP="00600710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819D8">
        <w:rPr>
          <w:rFonts w:ascii="Calibri" w:hAnsi="Calibri" w:cs="Calibri"/>
          <w:sz w:val="22"/>
          <w:szCs w:val="22"/>
        </w:rPr>
        <w:t>Ensure compliance with regulatory and corporate governance standards.</w:t>
      </w:r>
    </w:p>
    <w:p w14:paraId="6E14B393" w14:textId="0EF1C2EE" w:rsidR="00E3692A" w:rsidRPr="00E3692A" w:rsidRDefault="005819D8" w:rsidP="00600710">
      <w:pPr>
        <w:pStyle w:val="Heading1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32"/>
          <w:szCs w:val="32"/>
        </w:rPr>
      </w:pPr>
      <w:bookmarkStart w:id="3" w:name="_Toc183633262"/>
      <w:r w:rsidRPr="005819D8">
        <w:rPr>
          <w:rFonts w:ascii="Calibri" w:hAnsi="Calibri" w:cs="Calibri"/>
          <w:sz w:val="32"/>
          <w:szCs w:val="32"/>
        </w:rPr>
        <w:t>Scope</w:t>
      </w:r>
      <w:bookmarkEnd w:id="3"/>
    </w:p>
    <w:p w14:paraId="731815DA" w14:textId="7E0B34B8" w:rsidR="00C86107" w:rsidRDefault="005819D8" w:rsidP="00C8610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819D8">
        <w:rPr>
          <w:rFonts w:ascii="Calibri" w:hAnsi="Calibri" w:cs="Calibri"/>
          <w:sz w:val="22"/>
          <w:szCs w:val="22"/>
        </w:rPr>
        <w:t>This policy applies to all employees, contractors, and representatives of the Bank involved in stakeholder engagement and communication activities. Key stakeholders include, but are not limited to:</w:t>
      </w:r>
    </w:p>
    <w:p w14:paraId="16403317" w14:textId="77777777" w:rsidR="00C86107" w:rsidRPr="00C86107" w:rsidRDefault="00C86107" w:rsidP="00600710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86107">
        <w:rPr>
          <w:rFonts w:ascii="Calibri" w:hAnsi="Calibri" w:cs="Calibri"/>
          <w:b/>
          <w:bCs/>
          <w:sz w:val="22"/>
          <w:szCs w:val="22"/>
        </w:rPr>
        <w:t>Customers and Clients:</w:t>
      </w:r>
      <w:r w:rsidRPr="00C86107">
        <w:rPr>
          <w:rFonts w:ascii="Calibri" w:hAnsi="Calibri" w:cs="Calibri"/>
          <w:sz w:val="22"/>
          <w:szCs w:val="22"/>
        </w:rPr>
        <w:t xml:space="preserve"> Individuals and organizations using the Bank’s services.</w:t>
      </w:r>
    </w:p>
    <w:p w14:paraId="37F4ACE8" w14:textId="77777777" w:rsidR="00C86107" w:rsidRPr="00C86107" w:rsidRDefault="00C86107" w:rsidP="00600710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86107">
        <w:rPr>
          <w:rFonts w:ascii="Calibri" w:hAnsi="Calibri" w:cs="Calibri"/>
          <w:b/>
          <w:bCs/>
          <w:sz w:val="22"/>
          <w:szCs w:val="22"/>
        </w:rPr>
        <w:t>Shareholders:</w:t>
      </w:r>
      <w:r w:rsidRPr="00C86107">
        <w:rPr>
          <w:rFonts w:ascii="Calibri" w:hAnsi="Calibri" w:cs="Calibri"/>
          <w:sz w:val="22"/>
          <w:szCs w:val="22"/>
        </w:rPr>
        <w:t xml:space="preserve"> Investors and owners with financial interests in the Bank.</w:t>
      </w:r>
    </w:p>
    <w:p w14:paraId="409A18EC" w14:textId="77777777" w:rsidR="00C86107" w:rsidRPr="00C86107" w:rsidRDefault="00C86107" w:rsidP="00600710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86107">
        <w:rPr>
          <w:rFonts w:ascii="Calibri" w:hAnsi="Calibri" w:cs="Calibri"/>
          <w:b/>
          <w:bCs/>
          <w:sz w:val="22"/>
          <w:szCs w:val="22"/>
        </w:rPr>
        <w:t>Regulators:</w:t>
      </w:r>
      <w:r w:rsidRPr="00C86107">
        <w:rPr>
          <w:rFonts w:ascii="Calibri" w:hAnsi="Calibri" w:cs="Calibri"/>
          <w:sz w:val="22"/>
          <w:szCs w:val="22"/>
        </w:rPr>
        <w:t xml:space="preserve"> Central Bank of Nigeria (CBN) and other supervisory bodies.</w:t>
      </w:r>
    </w:p>
    <w:p w14:paraId="72BAEB00" w14:textId="77777777" w:rsidR="00C86107" w:rsidRPr="00C86107" w:rsidRDefault="00C86107" w:rsidP="00600710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86107">
        <w:rPr>
          <w:rFonts w:ascii="Calibri" w:hAnsi="Calibri" w:cs="Calibri"/>
          <w:b/>
          <w:bCs/>
          <w:sz w:val="22"/>
          <w:szCs w:val="22"/>
        </w:rPr>
        <w:t>Employees:</w:t>
      </w:r>
      <w:r w:rsidRPr="00C86107">
        <w:rPr>
          <w:rFonts w:ascii="Calibri" w:hAnsi="Calibri" w:cs="Calibri"/>
          <w:sz w:val="22"/>
          <w:szCs w:val="22"/>
        </w:rPr>
        <w:t xml:space="preserve"> Internal teams and staff members at all levels.</w:t>
      </w:r>
    </w:p>
    <w:p w14:paraId="07D653F8" w14:textId="77777777" w:rsidR="00C86107" w:rsidRPr="00C86107" w:rsidRDefault="00C86107" w:rsidP="00600710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86107">
        <w:rPr>
          <w:rFonts w:ascii="Calibri" w:hAnsi="Calibri" w:cs="Calibri"/>
          <w:b/>
          <w:bCs/>
          <w:sz w:val="22"/>
          <w:szCs w:val="22"/>
        </w:rPr>
        <w:t>Partners and Suppliers:</w:t>
      </w:r>
      <w:r w:rsidRPr="00C86107">
        <w:rPr>
          <w:rFonts w:ascii="Calibri" w:hAnsi="Calibri" w:cs="Calibri"/>
          <w:sz w:val="22"/>
          <w:szCs w:val="22"/>
        </w:rPr>
        <w:t xml:space="preserve"> Vendors and collaborators in service delivery.</w:t>
      </w:r>
    </w:p>
    <w:p w14:paraId="445FF309" w14:textId="77777777" w:rsidR="00C86107" w:rsidRPr="00C86107" w:rsidRDefault="00C86107" w:rsidP="00600710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86107">
        <w:rPr>
          <w:rFonts w:ascii="Calibri" w:hAnsi="Calibri" w:cs="Calibri"/>
          <w:b/>
          <w:bCs/>
          <w:sz w:val="22"/>
          <w:szCs w:val="22"/>
        </w:rPr>
        <w:t>Community Members:</w:t>
      </w:r>
      <w:r w:rsidRPr="00C86107">
        <w:rPr>
          <w:rFonts w:ascii="Calibri" w:hAnsi="Calibri" w:cs="Calibri"/>
          <w:sz w:val="22"/>
          <w:szCs w:val="22"/>
        </w:rPr>
        <w:t xml:space="preserve"> Local communities impacted by the Bank’s operations.</w:t>
      </w:r>
    </w:p>
    <w:p w14:paraId="37E28FAF" w14:textId="25B48590" w:rsidR="00C86107" w:rsidRPr="00E70960" w:rsidRDefault="00C86107" w:rsidP="00600710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86107">
        <w:rPr>
          <w:rFonts w:ascii="Calibri" w:hAnsi="Calibri" w:cs="Calibri"/>
          <w:b/>
          <w:bCs/>
          <w:sz w:val="22"/>
          <w:szCs w:val="22"/>
        </w:rPr>
        <w:t>Media and Advocacy Groups:</w:t>
      </w:r>
      <w:r w:rsidRPr="00C86107">
        <w:rPr>
          <w:rFonts w:ascii="Calibri" w:hAnsi="Calibri" w:cs="Calibri"/>
          <w:sz w:val="22"/>
          <w:szCs w:val="22"/>
        </w:rPr>
        <w:t xml:space="preserve"> Channels for disseminating information and engaging in public discourse.</w:t>
      </w:r>
    </w:p>
    <w:p w14:paraId="4807DCAD" w14:textId="77777777" w:rsidR="005819D8" w:rsidRPr="005819D8" w:rsidRDefault="005819D8" w:rsidP="00600710">
      <w:pPr>
        <w:pStyle w:val="Heading1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32"/>
          <w:szCs w:val="32"/>
        </w:rPr>
      </w:pPr>
      <w:bookmarkStart w:id="4" w:name="_Toc183633263"/>
      <w:r w:rsidRPr="005819D8">
        <w:rPr>
          <w:rFonts w:ascii="Calibri" w:hAnsi="Calibri" w:cs="Calibri"/>
          <w:sz w:val="32"/>
          <w:szCs w:val="32"/>
        </w:rPr>
        <w:t>Guiding Principles</w:t>
      </w:r>
      <w:bookmarkEnd w:id="4"/>
    </w:p>
    <w:p w14:paraId="6A68D98F" w14:textId="1BBE3869" w:rsidR="002531FA" w:rsidRDefault="005819D8" w:rsidP="005819D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819D8">
        <w:rPr>
          <w:rFonts w:ascii="Calibri" w:hAnsi="Calibri" w:cs="Calibri"/>
          <w:sz w:val="22"/>
          <w:szCs w:val="22"/>
        </w:rPr>
        <w:t>The Bank’s communication with stakeholders will be guided by the following principles:</w:t>
      </w:r>
    </w:p>
    <w:p w14:paraId="2B0798AF" w14:textId="77777777" w:rsidR="00E70960" w:rsidRPr="005819D8" w:rsidRDefault="00E70960" w:rsidP="005819D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B8EC0B6" w14:textId="77777777" w:rsidR="005819D8" w:rsidRPr="005819D8" w:rsidRDefault="005819D8" w:rsidP="00600710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819D8">
        <w:rPr>
          <w:rFonts w:ascii="Calibri" w:hAnsi="Calibri" w:cs="Calibri"/>
          <w:b/>
          <w:bCs/>
          <w:sz w:val="22"/>
          <w:szCs w:val="22"/>
        </w:rPr>
        <w:t>Transparency:</w:t>
      </w:r>
      <w:r w:rsidRPr="005819D8">
        <w:rPr>
          <w:rFonts w:ascii="Calibri" w:hAnsi="Calibri" w:cs="Calibri"/>
          <w:sz w:val="22"/>
          <w:szCs w:val="22"/>
        </w:rPr>
        <w:t xml:space="preserve"> Communicate openly and honestly to foster trust and credibility.</w:t>
      </w:r>
    </w:p>
    <w:p w14:paraId="6E83D277" w14:textId="77777777" w:rsidR="005819D8" w:rsidRPr="005819D8" w:rsidRDefault="005819D8" w:rsidP="00600710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819D8">
        <w:rPr>
          <w:rFonts w:ascii="Calibri" w:hAnsi="Calibri" w:cs="Calibri"/>
          <w:b/>
          <w:bCs/>
          <w:sz w:val="22"/>
          <w:szCs w:val="22"/>
        </w:rPr>
        <w:t>Relevance:</w:t>
      </w:r>
      <w:r w:rsidRPr="005819D8">
        <w:rPr>
          <w:rFonts w:ascii="Calibri" w:hAnsi="Calibri" w:cs="Calibri"/>
          <w:sz w:val="22"/>
          <w:szCs w:val="22"/>
        </w:rPr>
        <w:t xml:space="preserve"> Share information that is pertinent to stakeholder interests and concerns.</w:t>
      </w:r>
    </w:p>
    <w:p w14:paraId="522E22F4" w14:textId="565F4F91" w:rsidR="005819D8" w:rsidRDefault="005819D8" w:rsidP="00600710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819D8">
        <w:rPr>
          <w:rFonts w:ascii="Calibri" w:hAnsi="Calibri" w:cs="Calibri"/>
          <w:b/>
          <w:bCs/>
          <w:sz w:val="22"/>
          <w:szCs w:val="22"/>
        </w:rPr>
        <w:t>Consistency:</w:t>
      </w:r>
      <w:r w:rsidRPr="005819D8">
        <w:rPr>
          <w:rFonts w:ascii="Calibri" w:hAnsi="Calibri" w:cs="Calibri"/>
          <w:sz w:val="22"/>
          <w:szCs w:val="22"/>
        </w:rPr>
        <w:t xml:space="preserve"> Ensure messaging is aligned across all communication channels</w:t>
      </w:r>
      <w:r w:rsidR="00D202F8">
        <w:rPr>
          <w:rFonts w:ascii="Calibri" w:hAnsi="Calibri" w:cs="Calibri"/>
          <w:sz w:val="22"/>
          <w:szCs w:val="22"/>
        </w:rPr>
        <w:t xml:space="preserve"> and platforms</w:t>
      </w:r>
      <w:r w:rsidRPr="005819D8">
        <w:rPr>
          <w:rFonts w:ascii="Calibri" w:hAnsi="Calibri" w:cs="Calibri"/>
          <w:sz w:val="22"/>
          <w:szCs w:val="22"/>
        </w:rPr>
        <w:t>.</w:t>
      </w:r>
    </w:p>
    <w:p w14:paraId="2A9C6898" w14:textId="57D96C42" w:rsidR="00D202F8" w:rsidRPr="00D202F8" w:rsidRDefault="00D202F8" w:rsidP="00600710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86107">
        <w:rPr>
          <w:rFonts w:ascii="Calibri" w:hAnsi="Calibri" w:cs="Calibri"/>
          <w:b/>
          <w:bCs/>
          <w:sz w:val="22"/>
          <w:szCs w:val="22"/>
        </w:rPr>
        <w:lastRenderedPageBreak/>
        <w:t>Proactiveness:</w:t>
      </w:r>
      <w:r w:rsidRPr="00C86107">
        <w:rPr>
          <w:rFonts w:ascii="Calibri" w:hAnsi="Calibri" w:cs="Calibri"/>
          <w:sz w:val="22"/>
          <w:szCs w:val="22"/>
        </w:rPr>
        <w:t xml:space="preserve"> Anticipating stakeholder information needs and addressing them before they arise.</w:t>
      </w:r>
    </w:p>
    <w:p w14:paraId="219944FB" w14:textId="147E2667" w:rsidR="00D202F8" w:rsidRPr="00D202F8" w:rsidRDefault="00D202F8" w:rsidP="00600710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86107">
        <w:rPr>
          <w:rFonts w:ascii="Calibri" w:hAnsi="Calibri" w:cs="Calibri"/>
          <w:b/>
          <w:bCs/>
          <w:sz w:val="22"/>
          <w:szCs w:val="22"/>
        </w:rPr>
        <w:t>Engagement:</w:t>
      </w:r>
      <w:r w:rsidRPr="00C86107">
        <w:rPr>
          <w:rFonts w:ascii="Calibri" w:hAnsi="Calibri" w:cs="Calibri"/>
          <w:sz w:val="22"/>
          <w:szCs w:val="22"/>
        </w:rPr>
        <w:t xml:space="preserve"> Actively seeking and responding to stakeholder feedback to improve the Bank’s performance.</w:t>
      </w:r>
    </w:p>
    <w:p w14:paraId="4EFFD111" w14:textId="77777777" w:rsidR="005819D8" w:rsidRPr="005819D8" w:rsidRDefault="005819D8" w:rsidP="00600710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819D8">
        <w:rPr>
          <w:rFonts w:ascii="Calibri" w:hAnsi="Calibri" w:cs="Calibri"/>
          <w:b/>
          <w:bCs/>
          <w:sz w:val="22"/>
          <w:szCs w:val="22"/>
        </w:rPr>
        <w:t>Timeliness:</w:t>
      </w:r>
      <w:r w:rsidRPr="005819D8">
        <w:rPr>
          <w:rFonts w:ascii="Calibri" w:hAnsi="Calibri" w:cs="Calibri"/>
          <w:sz w:val="22"/>
          <w:szCs w:val="22"/>
        </w:rPr>
        <w:t xml:space="preserve"> Provide updates in a timely manner to keep stakeholders informed.</w:t>
      </w:r>
    </w:p>
    <w:p w14:paraId="034D0176" w14:textId="34C7D754" w:rsidR="00C86107" w:rsidRPr="00D202F8" w:rsidRDefault="005819D8" w:rsidP="00600710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819D8">
        <w:rPr>
          <w:rFonts w:ascii="Calibri" w:hAnsi="Calibri" w:cs="Calibri"/>
          <w:b/>
          <w:bCs/>
          <w:sz w:val="22"/>
          <w:szCs w:val="22"/>
        </w:rPr>
        <w:t>Accessibility:</w:t>
      </w:r>
      <w:r w:rsidRPr="005819D8">
        <w:rPr>
          <w:rFonts w:ascii="Calibri" w:hAnsi="Calibri" w:cs="Calibri"/>
          <w:sz w:val="22"/>
          <w:szCs w:val="22"/>
        </w:rPr>
        <w:t xml:space="preserve"> Use multiple communication channels to reach diverse stakeholder groups.</w:t>
      </w:r>
    </w:p>
    <w:p w14:paraId="1221CC12" w14:textId="77777777" w:rsidR="005819D8" w:rsidRPr="005819D8" w:rsidRDefault="005819D8" w:rsidP="00600710">
      <w:pPr>
        <w:pStyle w:val="Heading1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32"/>
          <w:szCs w:val="32"/>
        </w:rPr>
      </w:pPr>
      <w:bookmarkStart w:id="5" w:name="_Toc183633264"/>
      <w:r w:rsidRPr="005819D8">
        <w:rPr>
          <w:rFonts w:ascii="Calibri" w:hAnsi="Calibri" w:cs="Calibri"/>
          <w:sz w:val="32"/>
          <w:szCs w:val="32"/>
        </w:rPr>
        <w:t>Communication Channels</w:t>
      </w:r>
      <w:bookmarkEnd w:id="5"/>
    </w:p>
    <w:p w14:paraId="359E8A1C" w14:textId="1784335E" w:rsidR="005819D8" w:rsidRDefault="005819D8" w:rsidP="005819D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819D8">
        <w:rPr>
          <w:rFonts w:ascii="Calibri" w:hAnsi="Calibri" w:cs="Calibri"/>
          <w:sz w:val="22"/>
          <w:szCs w:val="22"/>
        </w:rPr>
        <w:t xml:space="preserve">The Bank will use a combination of traditional and digital communication channels, </w:t>
      </w:r>
      <w:r w:rsidR="00D202F8" w:rsidRPr="00D202F8">
        <w:rPr>
          <w:rFonts w:ascii="Calibri" w:hAnsi="Calibri" w:cs="Calibri"/>
          <w:sz w:val="22"/>
          <w:szCs w:val="22"/>
        </w:rPr>
        <w:t>to ensure stakeholders are effectively reached</w:t>
      </w:r>
      <w:r w:rsidRPr="005819D8">
        <w:rPr>
          <w:rFonts w:ascii="Calibri" w:hAnsi="Calibri" w:cs="Calibri"/>
          <w:sz w:val="22"/>
          <w:szCs w:val="22"/>
        </w:rPr>
        <w:t>:</w:t>
      </w:r>
    </w:p>
    <w:p w14:paraId="6A51EEB1" w14:textId="77777777" w:rsidR="00E70960" w:rsidRPr="005819D8" w:rsidRDefault="00E70960" w:rsidP="005819D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E251729" w14:textId="77777777" w:rsidR="005819D8" w:rsidRPr="005819D8" w:rsidRDefault="005819D8" w:rsidP="00600710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819D8">
        <w:rPr>
          <w:rFonts w:ascii="Calibri" w:hAnsi="Calibri" w:cs="Calibri"/>
          <w:b/>
          <w:bCs/>
          <w:sz w:val="22"/>
          <w:szCs w:val="22"/>
        </w:rPr>
        <w:t>Press Releases:</w:t>
      </w:r>
      <w:r w:rsidRPr="005819D8">
        <w:rPr>
          <w:rFonts w:ascii="Calibri" w:hAnsi="Calibri" w:cs="Calibri"/>
          <w:sz w:val="22"/>
          <w:szCs w:val="22"/>
        </w:rPr>
        <w:t xml:space="preserve"> To announce significant developments and milestones.</w:t>
      </w:r>
    </w:p>
    <w:p w14:paraId="0FF64236" w14:textId="1FADE723" w:rsidR="005819D8" w:rsidRPr="005819D8" w:rsidRDefault="005819D8" w:rsidP="00600710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819D8">
        <w:rPr>
          <w:rFonts w:ascii="Calibri" w:hAnsi="Calibri" w:cs="Calibri"/>
          <w:b/>
          <w:bCs/>
          <w:sz w:val="22"/>
          <w:szCs w:val="22"/>
        </w:rPr>
        <w:t>Stakeholder Meetings:</w:t>
      </w:r>
      <w:r w:rsidRPr="005819D8">
        <w:rPr>
          <w:rFonts w:ascii="Calibri" w:hAnsi="Calibri" w:cs="Calibri"/>
          <w:sz w:val="22"/>
          <w:szCs w:val="22"/>
        </w:rPr>
        <w:t xml:space="preserve"> Regular engagements, such as Annual General Meetings (AGMs), town halls, </w:t>
      </w:r>
      <w:r w:rsidR="00566BB9">
        <w:rPr>
          <w:rFonts w:ascii="Calibri" w:hAnsi="Calibri" w:cs="Calibri"/>
          <w:sz w:val="22"/>
          <w:szCs w:val="22"/>
        </w:rPr>
        <w:t>breakfast sessions</w:t>
      </w:r>
      <w:r w:rsidR="0046686D">
        <w:rPr>
          <w:rFonts w:ascii="Calibri" w:hAnsi="Calibri" w:cs="Calibri"/>
          <w:sz w:val="22"/>
          <w:szCs w:val="22"/>
        </w:rPr>
        <w:t xml:space="preserve">, industry </w:t>
      </w:r>
      <w:r w:rsidR="00B644D3">
        <w:rPr>
          <w:rFonts w:ascii="Calibri" w:hAnsi="Calibri" w:cs="Calibri"/>
          <w:sz w:val="22"/>
          <w:szCs w:val="22"/>
        </w:rPr>
        <w:t>stakeholders’</w:t>
      </w:r>
      <w:r w:rsidR="0046686D">
        <w:rPr>
          <w:rFonts w:ascii="Calibri" w:hAnsi="Calibri" w:cs="Calibri"/>
          <w:sz w:val="22"/>
          <w:szCs w:val="22"/>
        </w:rPr>
        <w:t xml:space="preserve"> event </w:t>
      </w:r>
      <w:r w:rsidRPr="005819D8">
        <w:rPr>
          <w:rFonts w:ascii="Calibri" w:hAnsi="Calibri" w:cs="Calibri"/>
          <w:sz w:val="22"/>
          <w:szCs w:val="22"/>
        </w:rPr>
        <w:t>and focus group discussions.</w:t>
      </w:r>
    </w:p>
    <w:p w14:paraId="7556BB93" w14:textId="77777777" w:rsidR="005819D8" w:rsidRPr="005819D8" w:rsidRDefault="005819D8" w:rsidP="00600710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819D8">
        <w:rPr>
          <w:rFonts w:ascii="Calibri" w:hAnsi="Calibri" w:cs="Calibri"/>
          <w:b/>
          <w:bCs/>
          <w:sz w:val="22"/>
          <w:szCs w:val="22"/>
        </w:rPr>
        <w:t>Digital Platforms:</w:t>
      </w:r>
      <w:r w:rsidRPr="005819D8">
        <w:rPr>
          <w:rFonts w:ascii="Calibri" w:hAnsi="Calibri" w:cs="Calibri"/>
          <w:sz w:val="22"/>
          <w:szCs w:val="22"/>
        </w:rPr>
        <w:t xml:space="preserve"> Website, mobile applications, email newsletters, and social media for real-time updates.</w:t>
      </w:r>
    </w:p>
    <w:p w14:paraId="1B66EBD1" w14:textId="772FD544" w:rsidR="005819D8" w:rsidRPr="005819D8" w:rsidRDefault="005819D8" w:rsidP="00600710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819D8">
        <w:rPr>
          <w:rFonts w:ascii="Calibri" w:hAnsi="Calibri" w:cs="Calibri"/>
          <w:b/>
          <w:bCs/>
          <w:sz w:val="22"/>
          <w:szCs w:val="22"/>
        </w:rPr>
        <w:t>Reports and Publications:</w:t>
      </w:r>
      <w:r w:rsidRPr="005819D8">
        <w:rPr>
          <w:rFonts w:ascii="Calibri" w:hAnsi="Calibri" w:cs="Calibri"/>
          <w:sz w:val="22"/>
          <w:szCs w:val="22"/>
        </w:rPr>
        <w:t xml:space="preserve"> Quarterly and annual reports, sustainability reports, </w:t>
      </w:r>
      <w:r w:rsidR="00D05E17">
        <w:rPr>
          <w:rFonts w:ascii="Calibri" w:hAnsi="Calibri" w:cs="Calibri"/>
          <w:sz w:val="22"/>
          <w:szCs w:val="22"/>
        </w:rPr>
        <w:t>industry whitepapers</w:t>
      </w:r>
      <w:r w:rsidR="00C57CFE">
        <w:rPr>
          <w:rFonts w:ascii="Calibri" w:hAnsi="Calibri" w:cs="Calibri"/>
          <w:sz w:val="22"/>
          <w:szCs w:val="22"/>
        </w:rPr>
        <w:t>, opinion editorials</w:t>
      </w:r>
      <w:r w:rsidR="00D05E17">
        <w:rPr>
          <w:rFonts w:ascii="Calibri" w:hAnsi="Calibri" w:cs="Calibri"/>
          <w:sz w:val="22"/>
          <w:szCs w:val="22"/>
        </w:rPr>
        <w:t xml:space="preserve"> </w:t>
      </w:r>
      <w:r w:rsidRPr="005819D8">
        <w:rPr>
          <w:rFonts w:ascii="Calibri" w:hAnsi="Calibri" w:cs="Calibri"/>
          <w:sz w:val="22"/>
          <w:szCs w:val="22"/>
        </w:rPr>
        <w:t>and newsletters.</w:t>
      </w:r>
    </w:p>
    <w:p w14:paraId="56717CAD" w14:textId="6BE2CF53" w:rsidR="005819D8" w:rsidRPr="005819D8" w:rsidRDefault="005819D8" w:rsidP="00600710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819D8">
        <w:rPr>
          <w:rFonts w:ascii="Calibri" w:hAnsi="Calibri" w:cs="Calibri"/>
          <w:b/>
          <w:bCs/>
          <w:sz w:val="22"/>
          <w:szCs w:val="22"/>
        </w:rPr>
        <w:t>Media Engagements:</w:t>
      </w:r>
      <w:r w:rsidRPr="005819D8">
        <w:rPr>
          <w:rFonts w:ascii="Calibri" w:hAnsi="Calibri" w:cs="Calibri"/>
          <w:sz w:val="22"/>
          <w:szCs w:val="22"/>
        </w:rPr>
        <w:t xml:space="preserve"> Interviews, press conferences, and collaborations with media </w:t>
      </w:r>
      <w:r w:rsidR="00505938">
        <w:rPr>
          <w:rFonts w:ascii="Calibri" w:hAnsi="Calibri" w:cs="Calibri"/>
          <w:sz w:val="22"/>
          <w:szCs w:val="22"/>
        </w:rPr>
        <w:t>channels</w:t>
      </w:r>
      <w:r w:rsidR="005B043C">
        <w:rPr>
          <w:rFonts w:ascii="Calibri" w:hAnsi="Calibri" w:cs="Calibri"/>
          <w:sz w:val="22"/>
          <w:szCs w:val="22"/>
        </w:rPr>
        <w:t xml:space="preserve"> and </w:t>
      </w:r>
      <w:r w:rsidR="00D9094F">
        <w:rPr>
          <w:rFonts w:ascii="Calibri" w:hAnsi="Calibri" w:cs="Calibri"/>
          <w:sz w:val="22"/>
          <w:szCs w:val="22"/>
        </w:rPr>
        <w:t>persona</w:t>
      </w:r>
      <w:r w:rsidR="00505938">
        <w:rPr>
          <w:rFonts w:ascii="Calibri" w:hAnsi="Calibri" w:cs="Calibri"/>
          <w:sz w:val="22"/>
          <w:szCs w:val="22"/>
        </w:rPr>
        <w:t>lities.</w:t>
      </w:r>
    </w:p>
    <w:p w14:paraId="1DF9CF77" w14:textId="5A576498" w:rsidR="00D202F8" w:rsidRPr="00D202F8" w:rsidRDefault="005819D8" w:rsidP="00600710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819D8">
        <w:rPr>
          <w:rFonts w:ascii="Calibri" w:hAnsi="Calibri" w:cs="Calibri"/>
          <w:b/>
          <w:bCs/>
          <w:sz w:val="22"/>
          <w:szCs w:val="22"/>
        </w:rPr>
        <w:t>Community Outreach Programs:</w:t>
      </w:r>
      <w:r w:rsidRPr="005819D8">
        <w:rPr>
          <w:rFonts w:ascii="Calibri" w:hAnsi="Calibri" w:cs="Calibri"/>
          <w:sz w:val="22"/>
          <w:szCs w:val="22"/>
        </w:rPr>
        <w:t xml:space="preserve"> In-person interactions to engage local communities and NGOs</w:t>
      </w:r>
      <w:r w:rsidR="00D202F8">
        <w:rPr>
          <w:rFonts w:ascii="Calibri" w:hAnsi="Calibri" w:cs="Calibri"/>
          <w:sz w:val="22"/>
          <w:szCs w:val="22"/>
        </w:rPr>
        <w:t xml:space="preserve">, deliver </w:t>
      </w:r>
      <w:r w:rsidR="00D202F8" w:rsidRPr="00D202F8">
        <w:rPr>
          <w:rFonts w:ascii="Calibri" w:hAnsi="Calibri" w:cs="Calibri"/>
          <w:sz w:val="22"/>
          <w:szCs w:val="22"/>
        </w:rPr>
        <w:t>Corporate Social Responsibility (CSR) initiatives</w:t>
      </w:r>
      <w:r w:rsidRPr="005819D8">
        <w:rPr>
          <w:rFonts w:ascii="Calibri" w:hAnsi="Calibri" w:cs="Calibri"/>
          <w:sz w:val="22"/>
          <w:szCs w:val="22"/>
        </w:rPr>
        <w:t>.</w:t>
      </w:r>
    </w:p>
    <w:p w14:paraId="68F37151" w14:textId="77777777" w:rsidR="005819D8" w:rsidRPr="005819D8" w:rsidRDefault="005819D8" w:rsidP="00600710">
      <w:pPr>
        <w:pStyle w:val="Heading1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32"/>
          <w:szCs w:val="32"/>
        </w:rPr>
      </w:pPr>
      <w:bookmarkStart w:id="6" w:name="_Toc183633265"/>
      <w:r w:rsidRPr="005819D8">
        <w:rPr>
          <w:rFonts w:ascii="Calibri" w:hAnsi="Calibri" w:cs="Calibri"/>
          <w:sz w:val="32"/>
          <w:szCs w:val="32"/>
        </w:rPr>
        <w:t>Key Communication Activities</w:t>
      </w:r>
      <w:bookmarkEnd w:id="6"/>
    </w:p>
    <w:p w14:paraId="7006F18D" w14:textId="72DC2F68" w:rsidR="00F57377" w:rsidRPr="00F57377" w:rsidRDefault="00F57377" w:rsidP="00600710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7377">
        <w:rPr>
          <w:rFonts w:ascii="Calibri" w:hAnsi="Calibri" w:cs="Calibri"/>
          <w:b/>
          <w:bCs/>
          <w:sz w:val="22"/>
          <w:szCs w:val="22"/>
        </w:rPr>
        <w:t>Strategic Announcements:</w:t>
      </w:r>
    </w:p>
    <w:p w14:paraId="556D9C11" w14:textId="77777777" w:rsidR="00F57377" w:rsidRPr="00F57377" w:rsidRDefault="00F57377" w:rsidP="00600710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7377">
        <w:rPr>
          <w:rFonts w:ascii="Calibri" w:hAnsi="Calibri" w:cs="Calibri"/>
          <w:sz w:val="22"/>
          <w:szCs w:val="22"/>
        </w:rPr>
        <w:t>Financial results, product launches, and strategic milestones.</w:t>
      </w:r>
    </w:p>
    <w:p w14:paraId="69091D1A" w14:textId="77777777" w:rsidR="00F57377" w:rsidRDefault="00F57377" w:rsidP="00600710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7377">
        <w:rPr>
          <w:rFonts w:ascii="Calibri" w:hAnsi="Calibri" w:cs="Calibri"/>
          <w:sz w:val="22"/>
          <w:szCs w:val="22"/>
        </w:rPr>
        <w:t>Updates on regulatory compliance and market developments.</w:t>
      </w:r>
    </w:p>
    <w:p w14:paraId="72F6D87A" w14:textId="5190DF7B" w:rsidR="00EB43A6" w:rsidRPr="00F57377" w:rsidRDefault="00EB43A6" w:rsidP="00600710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Strategic partnerships and collaborations.</w:t>
      </w:r>
    </w:p>
    <w:p w14:paraId="1DAE61FD" w14:textId="077B2FDA" w:rsidR="00F57377" w:rsidRPr="00F57377" w:rsidRDefault="00F57377" w:rsidP="00600710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7377">
        <w:rPr>
          <w:rFonts w:ascii="Calibri" w:hAnsi="Calibri" w:cs="Calibri"/>
          <w:b/>
          <w:bCs/>
          <w:sz w:val="22"/>
          <w:szCs w:val="22"/>
        </w:rPr>
        <w:t>Stakeholder Engagement:</w:t>
      </w:r>
    </w:p>
    <w:p w14:paraId="45F1DDD5" w14:textId="77777777" w:rsidR="00F57377" w:rsidRPr="00F57377" w:rsidRDefault="00F57377" w:rsidP="00600710">
      <w:pPr>
        <w:numPr>
          <w:ilvl w:val="0"/>
          <w:numId w:val="8"/>
        </w:numPr>
        <w:tabs>
          <w:tab w:val="num" w:pos="72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7377">
        <w:rPr>
          <w:rFonts w:ascii="Calibri" w:hAnsi="Calibri" w:cs="Calibri"/>
          <w:sz w:val="22"/>
          <w:szCs w:val="22"/>
        </w:rPr>
        <w:t>Hosting forums for direct interaction with stakeholders to foster mutual understanding.</w:t>
      </w:r>
    </w:p>
    <w:p w14:paraId="6AD813AF" w14:textId="77777777" w:rsidR="00F57377" w:rsidRPr="00F57377" w:rsidRDefault="00F57377" w:rsidP="00600710">
      <w:pPr>
        <w:numPr>
          <w:ilvl w:val="0"/>
          <w:numId w:val="8"/>
        </w:numPr>
        <w:tabs>
          <w:tab w:val="num" w:pos="72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7377">
        <w:rPr>
          <w:rFonts w:ascii="Calibri" w:hAnsi="Calibri" w:cs="Calibri"/>
          <w:sz w:val="22"/>
          <w:szCs w:val="22"/>
        </w:rPr>
        <w:t>Periodic surveys and feedback mechanisms to gauge stakeholder satisfaction and expectations.</w:t>
      </w:r>
    </w:p>
    <w:p w14:paraId="7E782292" w14:textId="27246DED" w:rsidR="00F57377" w:rsidRPr="00F57377" w:rsidRDefault="00F57377" w:rsidP="00600710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7377">
        <w:rPr>
          <w:rFonts w:ascii="Calibri" w:hAnsi="Calibri" w:cs="Calibri"/>
          <w:b/>
          <w:bCs/>
          <w:sz w:val="22"/>
          <w:szCs w:val="22"/>
        </w:rPr>
        <w:t>Crisis Communication:</w:t>
      </w:r>
    </w:p>
    <w:p w14:paraId="61D340EF" w14:textId="77777777" w:rsidR="00F57377" w:rsidRDefault="00F57377" w:rsidP="00600710">
      <w:pPr>
        <w:numPr>
          <w:ilvl w:val="0"/>
          <w:numId w:val="9"/>
        </w:numPr>
        <w:tabs>
          <w:tab w:val="num" w:pos="72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7377">
        <w:rPr>
          <w:rFonts w:ascii="Calibri" w:hAnsi="Calibri" w:cs="Calibri"/>
          <w:sz w:val="22"/>
          <w:szCs w:val="22"/>
        </w:rPr>
        <w:t>A dedicated plan to manage communication during crises, ensuring stakeholders receive accurate and timely updates.</w:t>
      </w:r>
    </w:p>
    <w:p w14:paraId="24107DF3" w14:textId="77777777" w:rsidR="00F57377" w:rsidRPr="00F57377" w:rsidRDefault="00F57377" w:rsidP="00600710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57377">
        <w:rPr>
          <w:rFonts w:ascii="Calibri" w:hAnsi="Calibri" w:cs="Calibri"/>
          <w:b/>
          <w:bCs/>
          <w:sz w:val="22"/>
          <w:szCs w:val="22"/>
        </w:rPr>
        <w:t>Corporate Responsibility Reporting:</w:t>
      </w:r>
    </w:p>
    <w:p w14:paraId="1E13076B" w14:textId="0070686B" w:rsidR="00D202F8" w:rsidRPr="00F57377" w:rsidRDefault="00F57377" w:rsidP="00600710">
      <w:pPr>
        <w:numPr>
          <w:ilvl w:val="0"/>
          <w:numId w:val="11"/>
        </w:numPr>
        <w:tabs>
          <w:tab w:val="num" w:pos="72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7377">
        <w:rPr>
          <w:rFonts w:ascii="Calibri" w:hAnsi="Calibri" w:cs="Calibri"/>
          <w:sz w:val="22"/>
          <w:szCs w:val="22"/>
        </w:rPr>
        <w:t>Highlighting the Bank’s contributions to social and economic development, with a focus on financial inclusion, sustainability, and local impact.</w:t>
      </w:r>
    </w:p>
    <w:p w14:paraId="2E73A7B3" w14:textId="77777777" w:rsidR="005819D8" w:rsidRPr="00E3692A" w:rsidRDefault="005819D8" w:rsidP="00600710">
      <w:pPr>
        <w:pStyle w:val="Heading1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32"/>
          <w:szCs w:val="32"/>
        </w:rPr>
      </w:pPr>
      <w:bookmarkStart w:id="7" w:name="_Toc183633266"/>
      <w:r w:rsidRPr="005819D8">
        <w:rPr>
          <w:rFonts w:ascii="Calibri" w:hAnsi="Calibri" w:cs="Calibri"/>
          <w:sz w:val="32"/>
          <w:szCs w:val="32"/>
        </w:rPr>
        <w:lastRenderedPageBreak/>
        <w:t>Roles and Responsibilities</w:t>
      </w:r>
      <w:bookmarkEnd w:id="7"/>
    </w:p>
    <w:p w14:paraId="25F54D01" w14:textId="53F1A366" w:rsidR="005819D8" w:rsidRPr="005819D8" w:rsidRDefault="005819D8" w:rsidP="00600710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819D8">
        <w:rPr>
          <w:rFonts w:ascii="Calibri" w:hAnsi="Calibri" w:cs="Calibri"/>
          <w:b/>
          <w:bCs/>
          <w:sz w:val="22"/>
          <w:szCs w:val="22"/>
        </w:rPr>
        <w:t>Board of Directors:</w:t>
      </w:r>
      <w:r w:rsidRPr="005819D8">
        <w:rPr>
          <w:rFonts w:ascii="Calibri" w:hAnsi="Calibri" w:cs="Calibri"/>
          <w:sz w:val="22"/>
          <w:szCs w:val="22"/>
        </w:rPr>
        <w:t xml:space="preserve"> </w:t>
      </w:r>
      <w:r w:rsidR="00F57377" w:rsidRPr="00F57377">
        <w:rPr>
          <w:rFonts w:ascii="Calibri" w:hAnsi="Calibri" w:cs="Calibri"/>
          <w:sz w:val="22"/>
          <w:szCs w:val="22"/>
        </w:rPr>
        <w:t>Provide oversight and guidance on stakeholder communication strategies and ensure alignment with corporate goals.</w:t>
      </w:r>
    </w:p>
    <w:p w14:paraId="4E97E412" w14:textId="705916D2" w:rsidR="005819D8" w:rsidRPr="005819D8" w:rsidRDefault="005819D8" w:rsidP="00600710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819D8">
        <w:rPr>
          <w:rFonts w:ascii="Calibri" w:hAnsi="Calibri" w:cs="Calibri"/>
          <w:b/>
          <w:bCs/>
          <w:sz w:val="22"/>
          <w:szCs w:val="22"/>
        </w:rPr>
        <w:t>Executive Management:</w:t>
      </w:r>
      <w:r w:rsidRPr="005819D8">
        <w:rPr>
          <w:rFonts w:ascii="Calibri" w:hAnsi="Calibri" w:cs="Calibri"/>
          <w:sz w:val="22"/>
          <w:szCs w:val="22"/>
        </w:rPr>
        <w:t xml:space="preserve"> Lead communication efforts</w:t>
      </w:r>
      <w:r w:rsidR="00F57377">
        <w:rPr>
          <w:rFonts w:ascii="Calibri" w:hAnsi="Calibri" w:cs="Calibri"/>
          <w:sz w:val="22"/>
          <w:szCs w:val="22"/>
        </w:rPr>
        <w:t xml:space="preserve">, </w:t>
      </w:r>
      <w:r w:rsidR="00F57377" w:rsidRPr="00E103DF">
        <w:rPr>
          <w:rFonts w:ascii="Calibri" w:hAnsi="Calibri" w:cs="Calibri"/>
          <w:sz w:val="22"/>
          <w:szCs w:val="22"/>
        </w:rPr>
        <w:t>set the tone for transparency and engagement</w:t>
      </w:r>
      <w:r w:rsidR="00F57377">
        <w:rPr>
          <w:rFonts w:ascii="Calibri" w:hAnsi="Calibri" w:cs="Calibri"/>
          <w:sz w:val="22"/>
          <w:szCs w:val="22"/>
        </w:rPr>
        <w:t>,</w:t>
      </w:r>
      <w:r w:rsidRPr="005819D8">
        <w:rPr>
          <w:rFonts w:ascii="Calibri" w:hAnsi="Calibri" w:cs="Calibri"/>
          <w:sz w:val="22"/>
          <w:szCs w:val="22"/>
        </w:rPr>
        <w:t xml:space="preserve"> and align messaging with the Bank’s objectives.</w:t>
      </w:r>
    </w:p>
    <w:p w14:paraId="34157609" w14:textId="0FADFC40" w:rsidR="005819D8" w:rsidRPr="005819D8" w:rsidRDefault="00BB6454" w:rsidP="00600710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Marketing</w:t>
      </w:r>
      <w:r w:rsidR="005819D8" w:rsidRPr="005819D8">
        <w:rPr>
          <w:rFonts w:ascii="Calibri" w:hAnsi="Calibri" w:cs="Calibri"/>
          <w:b/>
          <w:bCs/>
          <w:sz w:val="22"/>
          <w:szCs w:val="22"/>
        </w:rPr>
        <w:t xml:space="preserve"> Communications Team:</w:t>
      </w:r>
      <w:r w:rsidR="005819D8" w:rsidRPr="005819D8">
        <w:rPr>
          <w:rFonts w:ascii="Calibri" w:hAnsi="Calibri" w:cs="Calibri"/>
          <w:sz w:val="22"/>
          <w:szCs w:val="22"/>
        </w:rPr>
        <w:t xml:space="preserve"> Develop and implement communication plans, manage media relations, and oversee digital </w:t>
      </w:r>
      <w:r w:rsidR="007115A9">
        <w:rPr>
          <w:rFonts w:ascii="Calibri" w:hAnsi="Calibri" w:cs="Calibri"/>
          <w:sz w:val="22"/>
          <w:szCs w:val="22"/>
        </w:rPr>
        <w:t xml:space="preserve">and conventional </w:t>
      </w:r>
      <w:r w:rsidR="0018056A">
        <w:rPr>
          <w:rFonts w:ascii="Calibri" w:hAnsi="Calibri" w:cs="Calibri"/>
          <w:sz w:val="22"/>
          <w:szCs w:val="22"/>
        </w:rPr>
        <w:t>messaging approach</w:t>
      </w:r>
      <w:r w:rsidR="005819D8" w:rsidRPr="005819D8">
        <w:rPr>
          <w:rFonts w:ascii="Calibri" w:hAnsi="Calibri" w:cs="Calibri"/>
          <w:sz w:val="22"/>
          <w:szCs w:val="22"/>
        </w:rPr>
        <w:t>.</w:t>
      </w:r>
    </w:p>
    <w:p w14:paraId="365DF589" w14:textId="77777777" w:rsidR="005819D8" w:rsidRPr="005819D8" w:rsidRDefault="005819D8" w:rsidP="00600710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819D8">
        <w:rPr>
          <w:rFonts w:ascii="Calibri" w:hAnsi="Calibri" w:cs="Calibri"/>
          <w:b/>
          <w:bCs/>
          <w:sz w:val="22"/>
          <w:szCs w:val="22"/>
        </w:rPr>
        <w:t>Compliance and Risk Teams:</w:t>
      </w:r>
      <w:r w:rsidRPr="005819D8">
        <w:rPr>
          <w:rFonts w:ascii="Calibri" w:hAnsi="Calibri" w:cs="Calibri"/>
          <w:sz w:val="22"/>
          <w:szCs w:val="22"/>
        </w:rPr>
        <w:t xml:space="preserve"> Ensure communications comply with regulatory requirements and address risks associated with disclosure.</w:t>
      </w:r>
    </w:p>
    <w:p w14:paraId="4DA1606F" w14:textId="17A7FA69" w:rsidR="005819D8" w:rsidRPr="005819D8" w:rsidRDefault="005819D8" w:rsidP="00600710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819D8">
        <w:rPr>
          <w:rFonts w:ascii="Calibri" w:hAnsi="Calibri" w:cs="Calibri"/>
          <w:b/>
          <w:bCs/>
          <w:sz w:val="22"/>
          <w:szCs w:val="22"/>
        </w:rPr>
        <w:t>All Employees:</w:t>
      </w:r>
      <w:r w:rsidRPr="005819D8">
        <w:rPr>
          <w:rFonts w:ascii="Calibri" w:hAnsi="Calibri" w:cs="Calibri"/>
          <w:sz w:val="22"/>
          <w:szCs w:val="22"/>
        </w:rPr>
        <w:t xml:space="preserve"> </w:t>
      </w:r>
      <w:r w:rsidR="00F57377" w:rsidRPr="00E103DF">
        <w:rPr>
          <w:rFonts w:ascii="Calibri" w:hAnsi="Calibri" w:cs="Calibri"/>
          <w:sz w:val="22"/>
          <w:szCs w:val="22"/>
        </w:rPr>
        <w:t>Act as ambassadors of the Bank, adhering to the principles of this policy in their daily interactions.</w:t>
      </w:r>
    </w:p>
    <w:p w14:paraId="7C4D1E30" w14:textId="30D63243" w:rsidR="00E3692A" w:rsidRPr="00BB6454" w:rsidRDefault="005819D8" w:rsidP="00600710">
      <w:pPr>
        <w:pStyle w:val="Heading1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32"/>
          <w:szCs w:val="32"/>
        </w:rPr>
      </w:pPr>
      <w:bookmarkStart w:id="8" w:name="_Toc183633267"/>
      <w:r w:rsidRPr="005819D8">
        <w:rPr>
          <w:rFonts w:ascii="Calibri" w:hAnsi="Calibri" w:cs="Calibri"/>
          <w:sz w:val="32"/>
          <w:szCs w:val="32"/>
        </w:rPr>
        <w:t>Monitoring and Evaluation</w:t>
      </w:r>
      <w:bookmarkEnd w:id="8"/>
    </w:p>
    <w:p w14:paraId="79B39016" w14:textId="025DF138" w:rsidR="00F57377" w:rsidRPr="00F57377" w:rsidRDefault="005819D8" w:rsidP="00F57377">
      <w:pPr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  <w:r w:rsidRPr="005819D8">
        <w:rPr>
          <w:rFonts w:ascii="Calibri" w:hAnsi="Calibri" w:cs="Calibri"/>
          <w:sz w:val="22"/>
          <w:szCs w:val="22"/>
        </w:rPr>
        <w:t>The Bank will monitor and evaluate the effectiveness of its communication efforts through:</w:t>
      </w:r>
    </w:p>
    <w:p w14:paraId="78AB9CB7" w14:textId="0B896387" w:rsidR="00F57377" w:rsidRPr="00F57377" w:rsidRDefault="00F57377" w:rsidP="00600710">
      <w:pPr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7377">
        <w:rPr>
          <w:rFonts w:ascii="Calibri" w:hAnsi="Calibri" w:cs="Calibri"/>
          <w:b/>
          <w:bCs/>
          <w:sz w:val="22"/>
          <w:szCs w:val="22"/>
        </w:rPr>
        <w:t>Engagement Metrics:</w:t>
      </w:r>
      <w:r w:rsidRPr="00F57377">
        <w:rPr>
          <w:rFonts w:ascii="Calibri" w:hAnsi="Calibri" w:cs="Calibri"/>
          <w:sz w:val="22"/>
          <w:szCs w:val="22"/>
        </w:rPr>
        <w:t xml:space="preserve"> Analysis of website traffic, social media interaction, </w:t>
      </w:r>
      <w:r w:rsidR="00104B75">
        <w:rPr>
          <w:rFonts w:ascii="Calibri" w:hAnsi="Calibri" w:cs="Calibri"/>
          <w:sz w:val="22"/>
          <w:szCs w:val="22"/>
        </w:rPr>
        <w:t xml:space="preserve">perception audit reports, sentiment analysis </w:t>
      </w:r>
      <w:r w:rsidRPr="00F57377">
        <w:rPr>
          <w:rFonts w:ascii="Calibri" w:hAnsi="Calibri" w:cs="Calibri"/>
          <w:sz w:val="22"/>
          <w:szCs w:val="22"/>
        </w:rPr>
        <w:t xml:space="preserve">and </w:t>
      </w:r>
      <w:r w:rsidR="00104B75">
        <w:rPr>
          <w:rFonts w:ascii="Calibri" w:hAnsi="Calibri" w:cs="Calibri"/>
          <w:sz w:val="22"/>
          <w:szCs w:val="22"/>
        </w:rPr>
        <w:t>feedback from</w:t>
      </w:r>
      <w:r w:rsidRPr="00F57377">
        <w:rPr>
          <w:rFonts w:ascii="Calibri" w:hAnsi="Calibri" w:cs="Calibri"/>
          <w:sz w:val="22"/>
          <w:szCs w:val="22"/>
        </w:rPr>
        <w:t xml:space="preserve"> stakeholder events.</w:t>
      </w:r>
    </w:p>
    <w:p w14:paraId="6AA81B14" w14:textId="58669DD2" w:rsidR="00F57377" w:rsidRPr="00F57377" w:rsidRDefault="00F57377" w:rsidP="00600710">
      <w:pPr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7377">
        <w:rPr>
          <w:rFonts w:ascii="Calibri" w:hAnsi="Calibri" w:cs="Calibri"/>
          <w:b/>
          <w:bCs/>
          <w:sz w:val="22"/>
          <w:szCs w:val="22"/>
        </w:rPr>
        <w:t>Feedback Analysis:</w:t>
      </w:r>
      <w:r w:rsidRPr="00F57377">
        <w:rPr>
          <w:rFonts w:ascii="Calibri" w:hAnsi="Calibri" w:cs="Calibri"/>
          <w:sz w:val="22"/>
          <w:szCs w:val="22"/>
        </w:rPr>
        <w:t xml:space="preserve"> Regular collection and review of stakeholder feedback through surveys, focus groups,</w:t>
      </w:r>
      <w:r w:rsidR="003F0BAD">
        <w:rPr>
          <w:rFonts w:ascii="Calibri" w:hAnsi="Calibri" w:cs="Calibri"/>
          <w:sz w:val="22"/>
          <w:szCs w:val="22"/>
        </w:rPr>
        <w:t xml:space="preserve"> qualitative research studies</w:t>
      </w:r>
      <w:r w:rsidRPr="00F57377">
        <w:rPr>
          <w:rFonts w:ascii="Calibri" w:hAnsi="Calibri" w:cs="Calibri"/>
          <w:sz w:val="22"/>
          <w:szCs w:val="22"/>
        </w:rPr>
        <w:t xml:space="preserve"> and customer service reports.</w:t>
      </w:r>
    </w:p>
    <w:p w14:paraId="2616F4D9" w14:textId="40942FDA" w:rsidR="00F57377" w:rsidRPr="00F57377" w:rsidRDefault="00F57377" w:rsidP="00600710">
      <w:pPr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7377">
        <w:rPr>
          <w:rFonts w:ascii="Calibri" w:hAnsi="Calibri" w:cs="Calibri"/>
          <w:b/>
          <w:bCs/>
          <w:sz w:val="22"/>
          <w:szCs w:val="22"/>
        </w:rPr>
        <w:t>Performance Reviews:</w:t>
      </w:r>
      <w:r w:rsidRPr="00F57377">
        <w:rPr>
          <w:rFonts w:ascii="Calibri" w:hAnsi="Calibri" w:cs="Calibri"/>
          <w:sz w:val="22"/>
          <w:szCs w:val="22"/>
        </w:rPr>
        <w:t xml:space="preserve"> Annual evaluations of communication plans and adjustments based on stakeholder insights and organizational needs.</w:t>
      </w:r>
    </w:p>
    <w:p w14:paraId="7A66A513" w14:textId="77777777" w:rsidR="005819D8" w:rsidRPr="005819D8" w:rsidRDefault="005819D8" w:rsidP="00600710">
      <w:pPr>
        <w:pStyle w:val="Heading1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32"/>
          <w:szCs w:val="32"/>
        </w:rPr>
      </w:pPr>
      <w:bookmarkStart w:id="9" w:name="_Toc183633268"/>
      <w:r w:rsidRPr="005819D8">
        <w:rPr>
          <w:rFonts w:ascii="Calibri" w:hAnsi="Calibri" w:cs="Calibri"/>
          <w:sz w:val="32"/>
          <w:szCs w:val="32"/>
        </w:rPr>
        <w:t>Policy Review</w:t>
      </w:r>
      <w:bookmarkEnd w:id="9"/>
    </w:p>
    <w:p w14:paraId="660B7DD7" w14:textId="47285B37" w:rsidR="00F57377" w:rsidRPr="001D6AE3" w:rsidRDefault="00F57377" w:rsidP="001D6AE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7377">
        <w:rPr>
          <w:rFonts w:ascii="Calibri" w:hAnsi="Calibri" w:cs="Calibri"/>
          <w:sz w:val="22"/>
          <w:szCs w:val="22"/>
        </w:rPr>
        <w:t>This policy will be reviewed annually to ensure its continued relevance and effectiveness. Changes in regulatory requirements, stakeholder expectations, or strategic priorities will prompt interim reviews as necessary.</w:t>
      </w:r>
    </w:p>
    <w:p w14:paraId="43B9CA4A" w14:textId="15BBDABB" w:rsidR="005819D8" w:rsidRPr="00E3692A" w:rsidRDefault="005819D8" w:rsidP="00AF1877">
      <w:pPr>
        <w:pStyle w:val="Heading1"/>
        <w:numPr>
          <w:ilvl w:val="0"/>
          <w:numId w:val="1"/>
        </w:numPr>
        <w:spacing w:line="276" w:lineRule="auto"/>
        <w:rPr>
          <w:rFonts w:ascii="Calibri" w:hAnsi="Calibri" w:cs="Calibri"/>
          <w:sz w:val="32"/>
          <w:szCs w:val="32"/>
        </w:rPr>
      </w:pPr>
      <w:bookmarkStart w:id="10" w:name="_Toc183633269"/>
      <w:r w:rsidRPr="00E3692A">
        <w:rPr>
          <w:rFonts w:ascii="Calibri" w:hAnsi="Calibri" w:cs="Calibri"/>
          <w:sz w:val="32"/>
          <w:szCs w:val="32"/>
        </w:rPr>
        <w:t>Approval and Implementation</w:t>
      </w:r>
      <w:bookmarkEnd w:id="10"/>
    </w:p>
    <w:p w14:paraId="3E760F10" w14:textId="19416AB7" w:rsidR="005819D8" w:rsidRDefault="005819D8" w:rsidP="00C8247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819D8">
        <w:rPr>
          <w:rFonts w:ascii="Calibri" w:hAnsi="Calibri" w:cs="Calibri"/>
          <w:sz w:val="22"/>
          <w:szCs w:val="22"/>
        </w:rPr>
        <w:t xml:space="preserve">This policy has been approved by the Board of Directors and is effective as of </w:t>
      </w:r>
      <w:r w:rsidR="00BB6454">
        <w:rPr>
          <w:rFonts w:ascii="Calibri" w:hAnsi="Calibri" w:cs="Calibri"/>
          <w:sz w:val="22"/>
          <w:szCs w:val="22"/>
        </w:rPr>
        <w:t>December 12</w:t>
      </w:r>
      <w:r w:rsidR="00BB6454" w:rsidRPr="00BB6454">
        <w:rPr>
          <w:rFonts w:ascii="Calibri" w:hAnsi="Calibri" w:cs="Calibri"/>
          <w:sz w:val="22"/>
          <w:szCs w:val="22"/>
          <w:vertAlign w:val="superscript"/>
        </w:rPr>
        <w:t>th</w:t>
      </w:r>
      <w:r w:rsidR="00F57377">
        <w:rPr>
          <w:rFonts w:ascii="Calibri" w:hAnsi="Calibri" w:cs="Calibri"/>
          <w:sz w:val="22"/>
          <w:szCs w:val="22"/>
        </w:rPr>
        <w:t>, 2024,</w:t>
      </w:r>
      <w:r w:rsidRPr="005819D8">
        <w:rPr>
          <w:rFonts w:ascii="Calibri" w:hAnsi="Calibri" w:cs="Calibri"/>
          <w:sz w:val="22"/>
          <w:szCs w:val="22"/>
        </w:rPr>
        <w:t xml:space="preserve"> The </w:t>
      </w:r>
      <w:r w:rsidR="00BB6454">
        <w:rPr>
          <w:rFonts w:ascii="Calibri" w:hAnsi="Calibri" w:cs="Calibri"/>
          <w:sz w:val="22"/>
          <w:szCs w:val="22"/>
        </w:rPr>
        <w:t>Marketing</w:t>
      </w:r>
      <w:r w:rsidRPr="005819D8">
        <w:rPr>
          <w:rFonts w:ascii="Calibri" w:hAnsi="Calibri" w:cs="Calibri"/>
          <w:sz w:val="22"/>
          <w:szCs w:val="22"/>
        </w:rPr>
        <w:t xml:space="preserve"> Communications Team </w:t>
      </w:r>
      <w:r w:rsidR="00F57377" w:rsidRPr="00F57377">
        <w:rPr>
          <w:rFonts w:ascii="Calibri" w:hAnsi="Calibri" w:cs="Calibri"/>
          <w:sz w:val="22"/>
          <w:szCs w:val="22"/>
        </w:rPr>
        <w:t xml:space="preserve">will oversee its implementation, ensuring all staff members and representatives understand </w:t>
      </w:r>
      <w:r w:rsidR="00A133C9">
        <w:rPr>
          <w:rFonts w:ascii="Calibri" w:hAnsi="Calibri" w:cs="Calibri"/>
          <w:sz w:val="22"/>
          <w:szCs w:val="22"/>
        </w:rPr>
        <w:t xml:space="preserve">and adhere to </w:t>
      </w:r>
      <w:r w:rsidR="00F57377" w:rsidRPr="00F57377">
        <w:rPr>
          <w:rFonts w:ascii="Calibri" w:hAnsi="Calibri" w:cs="Calibri"/>
          <w:sz w:val="22"/>
          <w:szCs w:val="22"/>
        </w:rPr>
        <w:t>their roles in stakeholder communication.</w:t>
      </w:r>
    </w:p>
    <w:p w14:paraId="2825E535" w14:textId="77777777" w:rsidR="00C82470" w:rsidRDefault="00C82470" w:rsidP="00C8247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E76C405" w14:textId="488E52CD" w:rsidR="00C82470" w:rsidRPr="00E3692A" w:rsidRDefault="00C82470" w:rsidP="00600710">
      <w:pPr>
        <w:pStyle w:val="Heading1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Enquiries</w:t>
      </w:r>
    </w:p>
    <w:p w14:paraId="5D424C7E" w14:textId="77777777" w:rsidR="00F37939" w:rsidRPr="003938D9" w:rsidRDefault="00C82470" w:rsidP="003938D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938D9">
        <w:rPr>
          <w:rFonts w:ascii="Calibri" w:hAnsi="Calibri" w:cs="Calibri"/>
          <w:sz w:val="22"/>
          <w:szCs w:val="22"/>
        </w:rPr>
        <w:t>For enquiries regarding guidelines in the Communications Policy and how they apply or should be applied to any stakeholder, please contact:</w:t>
      </w:r>
      <w:r w:rsidR="00F37939" w:rsidRPr="003938D9">
        <w:rPr>
          <w:rFonts w:ascii="Calibri" w:hAnsi="Calibri" w:cs="Calibri"/>
          <w:sz w:val="22"/>
          <w:szCs w:val="22"/>
        </w:rPr>
        <w:t xml:space="preserve"> </w:t>
      </w:r>
    </w:p>
    <w:p w14:paraId="332234BC" w14:textId="77777777" w:rsidR="003938D9" w:rsidRDefault="00600710" w:rsidP="003938D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938D9">
        <w:rPr>
          <w:rFonts w:ascii="Calibri" w:hAnsi="Calibri" w:cs="Calibri"/>
          <w:sz w:val="22"/>
          <w:szCs w:val="22"/>
        </w:rPr>
        <w:t xml:space="preserve">The </w:t>
      </w:r>
      <w:r w:rsidR="00C82470" w:rsidRPr="003938D9">
        <w:rPr>
          <w:rFonts w:ascii="Calibri" w:hAnsi="Calibri" w:cs="Calibri"/>
          <w:sz w:val="22"/>
          <w:szCs w:val="22"/>
        </w:rPr>
        <w:t xml:space="preserve">Chief Marketing Officer, </w:t>
      </w:r>
    </w:p>
    <w:p w14:paraId="0C4CE2B1" w14:textId="50B4620C" w:rsidR="00C82470" w:rsidRPr="003938D9" w:rsidRDefault="00C82470" w:rsidP="003938D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938D9">
        <w:rPr>
          <w:rFonts w:ascii="Calibri" w:hAnsi="Calibri" w:cs="Calibri"/>
          <w:sz w:val="22"/>
          <w:szCs w:val="22"/>
        </w:rPr>
        <w:t>Branding, Marketing and Corporate Communications</w:t>
      </w:r>
      <w:r w:rsidR="00F37939" w:rsidRPr="003938D9">
        <w:rPr>
          <w:rFonts w:ascii="Calibri" w:hAnsi="Calibri" w:cs="Calibri"/>
          <w:sz w:val="22"/>
          <w:szCs w:val="22"/>
        </w:rPr>
        <w:t xml:space="preserve"> via:</w:t>
      </w:r>
    </w:p>
    <w:p w14:paraId="5D155FB6" w14:textId="6D2C1987" w:rsidR="00C82470" w:rsidRPr="00C61172" w:rsidRDefault="00C82470" w:rsidP="00C6117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527F8DA" w14:textId="32CC0E8D" w:rsidR="00600710" w:rsidRDefault="00600710" w:rsidP="00600710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Email: </w:t>
      </w:r>
      <w:hyperlink r:id="rId10" w:history="1">
        <w:r w:rsidR="00E7454C" w:rsidRPr="0072149E">
          <w:rPr>
            <w:rStyle w:val="Hyperlink"/>
            <w:rFonts w:ascii="Calibri" w:hAnsi="Calibri" w:cs="Calibri"/>
            <w:sz w:val="22"/>
            <w:szCs w:val="22"/>
          </w:rPr>
          <w:t>marketingcommunications@9psb.com.ng</w:t>
        </w:r>
      </w:hyperlink>
    </w:p>
    <w:p w14:paraId="63A27375" w14:textId="67251892" w:rsidR="00C82470" w:rsidRPr="00600710" w:rsidRDefault="00600710" w:rsidP="00600710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Mobile: 070</w:t>
      </w:r>
      <w:r w:rsidR="003E3C26">
        <w:rPr>
          <w:rFonts w:ascii="Calibri" w:hAnsi="Calibri" w:cs="Calibri"/>
          <w:sz w:val="22"/>
          <w:szCs w:val="22"/>
        </w:rPr>
        <w:t>02200005</w:t>
      </w:r>
    </w:p>
    <w:p w14:paraId="37CF9443" w14:textId="77777777" w:rsidR="00C82470" w:rsidRPr="001D6AE3" w:rsidRDefault="00C82470" w:rsidP="00C8247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3800A1D" w14:textId="514D92FD" w:rsidR="00CA0240" w:rsidRPr="005819D8" w:rsidRDefault="00CA0240" w:rsidP="00600710">
      <w:pPr>
        <w:pStyle w:val="Heading1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32"/>
          <w:szCs w:val="32"/>
        </w:rPr>
      </w:pPr>
      <w:bookmarkStart w:id="11" w:name="_Toc183633270"/>
      <w:r w:rsidRPr="005819D8">
        <w:rPr>
          <w:rFonts w:ascii="Calibri" w:hAnsi="Calibri" w:cs="Calibri"/>
          <w:sz w:val="32"/>
          <w:szCs w:val="32"/>
        </w:rPr>
        <w:t>Approvals</w:t>
      </w:r>
      <w:bookmarkEnd w:id="11"/>
    </w:p>
    <w:p w14:paraId="0DA5B748" w14:textId="77777777" w:rsidR="0051531E" w:rsidRPr="005819D8" w:rsidRDefault="0051531E" w:rsidP="005819D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685"/>
        <w:gridCol w:w="2268"/>
      </w:tblGrid>
      <w:tr w:rsidR="00CA0240" w:rsidRPr="005819D8" w14:paraId="1C681253" w14:textId="77777777" w:rsidTr="009C3CE2">
        <w:trPr>
          <w:trHeight w:val="326"/>
          <w:jc w:val="center"/>
        </w:trPr>
        <w:tc>
          <w:tcPr>
            <w:tcW w:w="2689" w:type="dxa"/>
            <w:shd w:val="clear" w:color="auto" w:fill="E2EFD9"/>
          </w:tcPr>
          <w:p w14:paraId="0210BA74" w14:textId="77777777" w:rsidR="00CA0240" w:rsidRPr="005819D8" w:rsidRDefault="00CA0240" w:rsidP="005819D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19D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3685" w:type="dxa"/>
            <w:shd w:val="clear" w:color="auto" w:fill="E2EFD9"/>
          </w:tcPr>
          <w:p w14:paraId="56CDA54B" w14:textId="77777777" w:rsidR="00CA0240" w:rsidRPr="005819D8" w:rsidRDefault="00CA0240" w:rsidP="005819D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19D8">
              <w:rPr>
                <w:rFonts w:ascii="Calibri" w:hAnsi="Calibri" w:cs="Calibri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2268" w:type="dxa"/>
            <w:shd w:val="clear" w:color="auto" w:fill="E2EFD9"/>
          </w:tcPr>
          <w:p w14:paraId="2A4B0E15" w14:textId="77777777" w:rsidR="00CA0240" w:rsidRPr="005819D8" w:rsidRDefault="00CA0240" w:rsidP="005819D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19D8">
              <w:rPr>
                <w:rFonts w:ascii="Calibri" w:hAnsi="Calibri" w:cs="Calibri"/>
                <w:b/>
                <w:bCs/>
                <w:sz w:val="22"/>
                <w:szCs w:val="22"/>
              </w:rPr>
              <w:t>Signature</w:t>
            </w:r>
          </w:p>
        </w:tc>
      </w:tr>
      <w:tr w:rsidR="00CA0240" w:rsidRPr="005819D8" w14:paraId="1961FA5A" w14:textId="77777777" w:rsidTr="0051531E">
        <w:trPr>
          <w:trHeight w:val="422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4061A0AF" w14:textId="77777777" w:rsidR="00CA0240" w:rsidRPr="005819D8" w:rsidRDefault="00CA0240" w:rsidP="005819D8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819D8">
              <w:rPr>
                <w:rFonts w:ascii="Calibri" w:hAnsi="Calibri" w:cs="Calibri"/>
                <w:sz w:val="22"/>
                <w:szCs w:val="22"/>
              </w:rPr>
              <w:t>Branka Mracajac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68DC82B" w14:textId="77777777" w:rsidR="00CA0240" w:rsidRPr="005819D8" w:rsidRDefault="00CA0240" w:rsidP="005819D8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819D8">
              <w:rPr>
                <w:rFonts w:ascii="Calibri" w:hAnsi="Calibri" w:cs="Calibri"/>
                <w:sz w:val="22"/>
                <w:szCs w:val="22"/>
              </w:rPr>
              <w:t>CEO/MD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44FB1A" w14:textId="77777777" w:rsidR="00CA0240" w:rsidRPr="005819D8" w:rsidRDefault="00CA0240" w:rsidP="005819D8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6454" w:rsidRPr="005819D8" w14:paraId="2AFC05CB" w14:textId="77777777" w:rsidTr="0051531E">
        <w:trPr>
          <w:trHeight w:val="422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70026D5B" w14:textId="0A967561" w:rsidR="00BB6454" w:rsidRPr="005819D8" w:rsidRDefault="00BB6454" w:rsidP="005819D8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Paul Oki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82A40C2" w14:textId="052521BA" w:rsidR="00BB6454" w:rsidRPr="005819D8" w:rsidRDefault="00BB6454" w:rsidP="005819D8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Chairman of the Board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032053" w14:textId="77777777" w:rsidR="00BB6454" w:rsidRPr="005819D8" w:rsidRDefault="00BB6454" w:rsidP="005819D8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ECE035E" w14:textId="77777777" w:rsidR="00CA0240" w:rsidRPr="005819D8" w:rsidRDefault="00CA0240" w:rsidP="005819D8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0642197" w14:textId="77777777" w:rsidR="00CA0240" w:rsidRPr="005819D8" w:rsidRDefault="00CA0240" w:rsidP="005819D8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C695BAC" w14:textId="77777777" w:rsidR="00CA0240" w:rsidRPr="005819D8" w:rsidRDefault="00CA0240" w:rsidP="005819D8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0EEA9B4" w14:textId="77777777" w:rsidR="00CA0240" w:rsidRPr="005819D8" w:rsidRDefault="00CA0240" w:rsidP="005819D8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5BE7C86" w14:textId="77777777" w:rsidR="00CA0240" w:rsidRPr="005819D8" w:rsidRDefault="00CA0240" w:rsidP="005819D8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7BC247B" w14:textId="77777777" w:rsidR="00CA0240" w:rsidRPr="005819D8" w:rsidRDefault="00CA0240" w:rsidP="005819D8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8539143" w14:textId="77777777" w:rsidR="0051531E" w:rsidRPr="005819D8" w:rsidRDefault="0051531E" w:rsidP="005819D8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sectPr w:rsidR="0051531E" w:rsidRPr="005819D8" w:rsidSect="00CA024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DA5CF" w14:textId="77777777" w:rsidR="00FC5D2F" w:rsidRDefault="00FC5D2F">
      <w:r>
        <w:separator/>
      </w:r>
    </w:p>
  </w:endnote>
  <w:endnote w:type="continuationSeparator" w:id="0">
    <w:p w14:paraId="451627D4" w14:textId="77777777" w:rsidR="00FC5D2F" w:rsidRDefault="00FC5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352CC" w14:textId="77777777" w:rsidR="0014271B" w:rsidRDefault="0014271B">
    <w:pPr>
      <w:pStyle w:val="Footer"/>
      <w:jc w:val="right"/>
    </w:pPr>
  </w:p>
  <w:p w14:paraId="39CC2C49" w14:textId="77777777" w:rsidR="0014271B" w:rsidRDefault="00502A78" w:rsidP="00765E57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765E57">
      <w:rPr>
        <w:color w:val="7F7F7F"/>
        <w:spacing w:val="60"/>
      </w:rPr>
      <w:t>Page</w:t>
    </w:r>
  </w:p>
  <w:p w14:paraId="68CBADA1" w14:textId="77777777" w:rsidR="0014271B" w:rsidRDefault="0014271B" w:rsidP="005F78F9">
    <w:pPr>
      <w:pStyle w:val="Footer"/>
    </w:pPr>
  </w:p>
  <w:p w14:paraId="68D0F3C5" w14:textId="77777777" w:rsidR="0014271B" w:rsidRDefault="00142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F01F0" w14:textId="77777777" w:rsidR="00FC5D2F" w:rsidRDefault="00FC5D2F">
      <w:r>
        <w:separator/>
      </w:r>
    </w:p>
  </w:footnote>
  <w:footnote w:type="continuationSeparator" w:id="0">
    <w:p w14:paraId="3B619F8A" w14:textId="77777777" w:rsidR="00FC5D2F" w:rsidRDefault="00FC5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921" w:type="dxa"/>
      <w:tblLayout w:type="fixed"/>
      <w:tblLook w:val="04A0" w:firstRow="1" w:lastRow="0" w:firstColumn="1" w:lastColumn="0" w:noHBand="0" w:noVBand="1"/>
    </w:tblPr>
    <w:tblGrid>
      <w:gridCol w:w="2610"/>
      <w:gridCol w:w="1890"/>
      <w:gridCol w:w="1260"/>
      <w:gridCol w:w="1170"/>
      <w:gridCol w:w="1991"/>
    </w:tblGrid>
    <w:tr w:rsidR="00EA211C" w:rsidRPr="0005709B" w14:paraId="478EE21A" w14:textId="77777777" w:rsidTr="002531FA">
      <w:trPr>
        <w:trHeight w:val="360"/>
      </w:trPr>
      <w:tc>
        <w:tcPr>
          <w:tcW w:w="2610" w:type="dxa"/>
          <w:shd w:val="clear" w:color="auto" w:fill="F2F2F2"/>
          <w:noWrap/>
          <w:vAlign w:val="center"/>
          <w:hideMark/>
        </w:tcPr>
        <w:p w14:paraId="66291C02" w14:textId="3B0B34F5" w:rsidR="0014271B" w:rsidRPr="00553F0B" w:rsidRDefault="00502A78" w:rsidP="00EA211C">
          <w:pPr>
            <w:jc w:val="center"/>
            <w:rPr>
              <w:b/>
              <w:color w:val="000000" w:themeColor="text1"/>
              <w:sz w:val="16"/>
              <w:szCs w:val="16"/>
              <w:lang w:val="en-GB"/>
            </w:rPr>
          </w:pPr>
          <w:r w:rsidRPr="00553F0B">
            <w:rPr>
              <w:b/>
              <w:color w:val="000000" w:themeColor="text1"/>
              <w:sz w:val="16"/>
              <w:szCs w:val="16"/>
              <w:lang w:val="en-GB"/>
            </w:rPr>
            <w:t>Document name:</w:t>
          </w:r>
        </w:p>
      </w:tc>
      <w:tc>
        <w:tcPr>
          <w:tcW w:w="1890" w:type="dxa"/>
          <w:shd w:val="clear" w:color="auto" w:fill="F2F2F2"/>
          <w:noWrap/>
          <w:vAlign w:val="center"/>
        </w:tcPr>
        <w:p w14:paraId="52245D81" w14:textId="77777777" w:rsidR="0014271B" w:rsidRPr="00553F0B" w:rsidRDefault="00502A78" w:rsidP="00EA211C">
          <w:pPr>
            <w:jc w:val="center"/>
            <w:rPr>
              <w:b/>
              <w:color w:val="000000" w:themeColor="text1"/>
              <w:sz w:val="16"/>
              <w:szCs w:val="16"/>
              <w:lang w:val="en-GB"/>
            </w:rPr>
          </w:pPr>
          <w:r w:rsidRPr="00553F0B">
            <w:rPr>
              <w:b/>
              <w:color w:val="000000" w:themeColor="text1"/>
              <w:sz w:val="16"/>
              <w:szCs w:val="16"/>
              <w:lang w:val="en-GB"/>
            </w:rPr>
            <w:t>Effective as of:</w:t>
          </w:r>
        </w:p>
      </w:tc>
      <w:tc>
        <w:tcPr>
          <w:tcW w:w="1260" w:type="dxa"/>
          <w:shd w:val="clear" w:color="auto" w:fill="F2F2F2"/>
          <w:noWrap/>
          <w:vAlign w:val="center"/>
          <w:hideMark/>
        </w:tcPr>
        <w:p w14:paraId="58240377" w14:textId="77777777" w:rsidR="0014271B" w:rsidRPr="00553F0B" w:rsidRDefault="00502A78" w:rsidP="00EA211C">
          <w:pPr>
            <w:jc w:val="center"/>
            <w:rPr>
              <w:b/>
              <w:color w:val="000000" w:themeColor="text1"/>
              <w:sz w:val="16"/>
              <w:szCs w:val="16"/>
              <w:lang w:val="en-GB"/>
            </w:rPr>
          </w:pPr>
          <w:r w:rsidRPr="00553F0B">
            <w:rPr>
              <w:b/>
              <w:color w:val="000000" w:themeColor="text1"/>
              <w:sz w:val="16"/>
              <w:szCs w:val="16"/>
              <w:lang w:val="en-GB"/>
            </w:rPr>
            <w:t>Approved by:</w:t>
          </w:r>
        </w:p>
      </w:tc>
      <w:tc>
        <w:tcPr>
          <w:tcW w:w="1170" w:type="dxa"/>
          <w:shd w:val="clear" w:color="auto" w:fill="F2F2F2"/>
          <w:noWrap/>
          <w:vAlign w:val="center"/>
          <w:hideMark/>
        </w:tcPr>
        <w:p w14:paraId="78A5D1C1" w14:textId="77777777" w:rsidR="0014271B" w:rsidRPr="00553F0B" w:rsidRDefault="00502A78" w:rsidP="00EA211C">
          <w:pPr>
            <w:jc w:val="center"/>
            <w:rPr>
              <w:b/>
              <w:color w:val="000000" w:themeColor="text1"/>
              <w:sz w:val="16"/>
              <w:szCs w:val="16"/>
              <w:lang w:val="en-GB"/>
            </w:rPr>
          </w:pPr>
          <w:r w:rsidRPr="00553F0B">
            <w:rPr>
              <w:b/>
              <w:color w:val="000000" w:themeColor="text1"/>
              <w:sz w:val="16"/>
              <w:szCs w:val="16"/>
              <w:lang w:val="en-GB"/>
            </w:rPr>
            <w:t>Owner:</w:t>
          </w:r>
        </w:p>
      </w:tc>
      <w:tc>
        <w:tcPr>
          <w:tcW w:w="1991" w:type="dxa"/>
          <w:shd w:val="clear" w:color="auto" w:fill="F2F2F2"/>
          <w:noWrap/>
          <w:vAlign w:val="center"/>
          <w:hideMark/>
        </w:tcPr>
        <w:p w14:paraId="0C6CDE0A" w14:textId="77777777" w:rsidR="0014271B" w:rsidRPr="00553F0B" w:rsidRDefault="00502A78" w:rsidP="00EA211C">
          <w:pPr>
            <w:jc w:val="center"/>
            <w:rPr>
              <w:b/>
              <w:color w:val="000000" w:themeColor="text1"/>
              <w:sz w:val="16"/>
              <w:szCs w:val="16"/>
              <w:lang w:val="en-GB"/>
            </w:rPr>
          </w:pPr>
          <w:r w:rsidRPr="00553F0B">
            <w:rPr>
              <w:b/>
              <w:color w:val="000000" w:themeColor="text1"/>
              <w:sz w:val="16"/>
              <w:szCs w:val="16"/>
              <w:lang w:val="en-GB"/>
            </w:rPr>
            <w:t>Classification:</w:t>
          </w:r>
        </w:p>
      </w:tc>
    </w:tr>
    <w:tr w:rsidR="00EA211C" w:rsidRPr="0005709B" w14:paraId="06730EAB" w14:textId="77777777" w:rsidTr="002531FA">
      <w:trPr>
        <w:trHeight w:val="194"/>
      </w:trPr>
      <w:tc>
        <w:tcPr>
          <w:tcW w:w="2610" w:type="dxa"/>
          <w:shd w:val="clear" w:color="auto" w:fill="auto"/>
          <w:noWrap/>
          <w:vAlign w:val="center"/>
          <w:hideMark/>
        </w:tcPr>
        <w:p w14:paraId="4F84C953" w14:textId="3605A65B" w:rsidR="0014271B" w:rsidRPr="00553F0B" w:rsidRDefault="005819D8" w:rsidP="00E70960">
          <w:pPr>
            <w:spacing w:line="276" w:lineRule="auto"/>
            <w:jc w:val="center"/>
            <w:rPr>
              <w:color w:val="000000" w:themeColor="text1"/>
              <w:sz w:val="16"/>
              <w:szCs w:val="16"/>
              <w:lang w:val="en-GB"/>
            </w:rPr>
          </w:pPr>
          <w:r w:rsidRPr="005819D8">
            <w:rPr>
              <w:color w:val="000000" w:themeColor="text1"/>
              <w:sz w:val="16"/>
              <w:szCs w:val="16"/>
              <w:lang w:val="en-GB"/>
            </w:rPr>
            <w:t>Stakeholder Communication Policy</w:t>
          </w:r>
        </w:p>
      </w:tc>
      <w:tc>
        <w:tcPr>
          <w:tcW w:w="1890" w:type="dxa"/>
          <w:shd w:val="clear" w:color="auto" w:fill="auto"/>
          <w:noWrap/>
          <w:vAlign w:val="center"/>
          <w:hideMark/>
        </w:tcPr>
        <w:p w14:paraId="342C52BD" w14:textId="508283C4" w:rsidR="0014271B" w:rsidRPr="00553F0B" w:rsidRDefault="005819D8" w:rsidP="00E70960">
          <w:pPr>
            <w:spacing w:line="276" w:lineRule="auto"/>
            <w:jc w:val="center"/>
            <w:rPr>
              <w:color w:val="000000" w:themeColor="text1"/>
              <w:sz w:val="16"/>
              <w:szCs w:val="16"/>
              <w:lang w:val="en-GB"/>
            </w:rPr>
          </w:pPr>
          <w:r>
            <w:rPr>
              <w:color w:val="000000" w:themeColor="text1"/>
              <w:sz w:val="16"/>
              <w:szCs w:val="16"/>
              <w:lang w:val="en-GB"/>
            </w:rPr>
            <w:t xml:space="preserve">December </w:t>
          </w:r>
          <w:r w:rsidRPr="00553F0B">
            <w:rPr>
              <w:color w:val="000000" w:themeColor="text1"/>
              <w:sz w:val="16"/>
              <w:szCs w:val="16"/>
              <w:lang w:val="en-GB"/>
            </w:rPr>
            <w:t>2024</w:t>
          </w:r>
        </w:p>
      </w:tc>
      <w:tc>
        <w:tcPr>
          <w:tcW w:w="1260" w:type="dxa"/>
          <w:shd w:val="clear" w:color="auto" w:fill="auto"/>
          <w:noWrap/>
          <w:vAlign w:val="center"/>
          <w:hideMark/>
        </w:tcPr>
        <w:p w14:paraId="236EF17B" w14:textId="77777777" w:rsidR="0014271B" w:rsidRPr="00553F0B" w:rsidRDefault="00502A78" w:rsidP="00E70960">
          <w:pPr>
            <w:spacing w:line="276" w:lineRule="auto"/>
            <w:jc w:val="center"/>
            <w:rPr>
              <w:color w:val="000000" w:themeColor="text1"/>
              <w:sz w:val="16"/>
              <w:szCs w:val="16"/>
              <w:lang w:val="en-GB"/>
            </w:rPr>
          </w:pPr>
          <w:r w:rsidRPr="00553F0B">
            <w:rPr>
              <w:color w:val="000000" w:themeColor="text1"/>
              <w:sz w:val="16"/>
              <w:szCs w:val="16"/>
              <w:lang w:val="en-GB"/>
            </w:rPr>
            <w:t>Board</w:t>
          </w:r>
        </w:p>
      </w:tc>
      <w:tc>
        <w:tcPr>
          <w:tcW w:w="1170" w:type="dxa"/>
          <w:shd w:val="clear" w:color="auto" w:fill="auto"/>
          <w:noWrap/>
          <w:vAlign w:val="center"/>
        </w:tcPr>
        <w:p w14:paraId="7232C6D5" w14:textId="274C6D96" w:rsidR="0014271B" w:rsidRPr="00553F0B" w:rsidRDefault="005819D8" w:rsidP="00E70960">
          <w:pPr>
            <w:spacing w:line="276" w:lineRule="auto"/>
            <w:jc w:val="center"/>
            <w:rPr>
              <w:color w:val="000000" w:themeColor="text1"/>
              <w:sz w:val="16"/>
              <w:szCs w:val="16"/>
              <w:lang w:val="en-GB"/>
            </w:rPr>
          </w:pPr>
          <w:r>
            <w:rPr>
              <w:color w:val="000000" w:themeColor="text1"/>
              <w:sz w:val="16"/>
              <w:szCs w:val="16"/>
              <w:lang w:val="en-GB"/>
            </w:rPr>
            <w:t>CMO</w:t>
          </w:r>
        </w:p>
      </w:tc>
      <w:tc>
        <w:tcPr>
          <w:tcW w:w="1991" w:type="dxa"/>
          <w:shd w:val="clear" w:color="auto" w:fill="auto"/>
          <w:noWrap/>
          <w:vAlign w:val="center"/>
        </w:tcPr>
        <w:p w14:paraId="2102E0B4" w14:textId="35C5AAFF" w:rsidR="0014271B" w:rsidRPr="00553F0B" w:rsidRDefault="002531FA" w:rsidP="00E70960">
          <w:pPr>
            <w:spacing w:line="276" w:lineRule="auto"/>
            <w:jc w:val="center"/>
            <w:rPr>
              <w:color w:val="000000" w:themeColor="text1"/>
              <w:sz w:val="16"/>
              <w:szCs w:val="16"/>
              <w:lang w:val="en-GB"/>
            </w:rPr>
          </w:pPr>
          <w:r>
            <w:rPr>
              <w:color w:val="000000" w:themeColor="text1"/>
              <w:sz w:val="16"/>
              <w:szCs w:val="16"/>
              <w:lang w:val="en-GB"/>
            </w:rPr>
            <w:t xml:space="preserve">Internal &amp; </w:t>
          </w:r>
          <w:r w:rsidR="005819D8">
            <w:rPr>
              <w:color w:val="000000" w:themeColor="text1"/>
              <w:sz w:val="16"/>
              <w:szCs w:val="16"/>
              <w:lang w:val="en-GB"/>
            </w:rPr>
            <w:t xml:space="preserve">External Use </w:t>
          </w:r>
        </w:p>
      </w:tc>
    </w:tr>
  </w:tbl>
  <w:p w14:paraId="07066F38" w14:textId="77777777" w:rsidR="0014271B" w:rsidRDefault="00502A78" w:rsidP="00EA211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94987C" wp14:editId="39AAA40A">
          <wp:simplePos x="0" y="0"/>
          <wp:positionH relativeFrom="column">
            <wp:posOffset>5726430</wp:posOffset>
          </wp:positionH>
          <wp:positionV relativeFrom="paragraph">
            <wp:posOffset>-400193</wp:posOffset>
          </wp:positionV>
          <wp:extent cx="682625" cy="426720"/>
          <wp:effectExtent l="0" t="0" r="0" b="0"/>
          <wp:wrapNone/>
          <wp:docPr id="1" name="Picture 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263E90D" wp14:editId="2DF07443">
              <wp:simplePos x="0" y="0"/>
              <wp:positionH relativeFrom="column">
                <wp:posOffset>-665480</wp:posOffset>
              </wp:positionH>
              <wp:positionV relativeFrom="paragraph">
                <wp:posOffset>95884</wp:posOffset>
              </wp:positionV>
              <wp:extent cx="7233920" cy="0"/>
              <wp:effectExtent l="0" t="0" r="0" b="0"/>
              <wp:wrapNone/>
              <wp:docPr id="684997620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23392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0AD47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0D7BB4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2.4pt,7.55pt" to="517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" strokecolor="#548235" strokeweight=".5pt">
              <v:stroke joinstyle="miter"/>
              <o:lock v:ext="edit" shapetype="f"/>
            </v:line>
          </w:pict>
        </mc:Fallback>
      </mc:AlternateContent>
    </w:r>
  </w:p>
  <w:p w14:paraId="1CE57A8F" w14:textId="77777777" w:rsidR="0014271B" w:rsidRDefault="00142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F46A0"/>
    <w:multiLevelType w:val="multilevel"/>
    <w:tmpl w:val="6ADA91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3971B2"/>
    <w:multiLevelType w:val="multilevel"/>
    <w:tmpl w:val="130AE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2A0804"/>
    <w:multiLevelType w:val="multilevel"/>
    <w:tmpl w:val="7024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865DE2"/>
    <w:multiLevelType w:val="hybridMultilevel"/>
    <w:tmpl w:val="42F05B3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242FA"/>
    <w:multiLevelType w:val="multilevel"/>
    <w:tmpl w:val="760A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8C48EB"/>
    <w:multiLevelType w:val="multilevel"/>
    <w:tmpl w:val="4D0416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CB355D"/>
    <w:multiLevelType w:val="multilevel"/>
    <w:tmpl w:val="C0AC12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EC6822"/>
    <w:multiLevelType w:val="multilevel"/>
    <w:tmpl w:val="6732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0C44D1"/>
    <w:multiLevelType w:val="multilevel"/>
    <w:tmpl w:val="FB1E3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09570FA"/>
    <w:multiLevelType w:val="hybridMultilevel"/>
    <w:tmpl w:val="8CA63C34"/>
    <w:lvl w:ilvl="0" w:tplc="16926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11F9C"/>
    <w:multiLevelType w:val="multilevel"/>
    <w:tmpl w:val="94F061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797008"/>
    <w:multiLevelType w:val="hybridMultilevel"/>
    <w:tmpl w:val="42F05B3A"/>
    <w:lvl w:ilvl="0" w:tplc="20000019">
      <w:start w:val="1"/>
      <w:numFmt w:val="low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A20BD"/>
    <w:multiLevelType w:val="multilevel"/>
    <w:tmpl w:val="78E80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2D16BC"/>
    <w:multiLevelType w:val="multilevel"/>
    <w:tmpl w:val="C030A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1908869">
    <w:abstractNumId w:val="8"/>
  </w:num>
  <w:num w:numId="2" w16cid:durableId="988170824">
    <w:abstractNumId w:val="12"/>
  </w:num>
  <w:num w:numId="3" w16cid:durableId="1575241987">
    <w:abstractNumId w:val="1"/>
  </w:num>
  <w:num w:numId="4" w16cid:durableId="367923291">
    <w:abstractNumId w:val="7"/>
  </w:num>
  <w:num w:numId="5" w16cid:durableId="1884171788">
    <w:abstractNumId w:val="13"/>
  </w:num>
  <w:num w:numId="6" w16cid:durableId="1988362657">
    <w:abstractNumId w:val="2"/>
  </w:num>
  <w:num w:numId="7" w16cid:durableId="434592944">
    <w:abstractNumId w:val="5"/>
  </w:num>
  <w:num w:numId="8" w16cid:durableId="670643828">
    <w:abstractNumId w:val="0"/>
  </w:num>
  <w:num w:numId="9" w16cid:durableId="1561138240">
    <w:abstractNumId w:val="6"/>
  </w:num>
  <w:num w:numId="10" w16cid:durableId="1246762028">
    <w:abstractNumId w:val="9"/>
  </w:num>
  <w:num w:numId="11" w16cid:durableId="376779856">
    <w:abstractNumId w:val="10"/>
  </w:num>
  <w:num w:numId="12" w16cid:durableId="1178039889">
    <w:abstractNumId w:val="4"/>
  </w:num>
  <w:num w:numId="13" w16cid:durableId="425660833">
    <w:abstractNumId w:val="11"/>
  </w:num>
  <w:num w:numId="14" w16cid:durableId="1813213412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240"/>
    <w:rsid w:val="00047877"/>
    <w:rsid w:val="000A30FD"/>
    <w:rsid w:val="000D009F"/>
    <w:rsid w:val="00104B75"/>
    <w:rsid w:val="00135567"/>
    <w:rsid w:val="0014271B"/>
    <w:rsid w:val="0018056A"/>
    <w:rsid w:val="001B26ED"/>
    <w:rsid w:val="001D6AE3"/>
    <w:rsid w:val="001F330C"/>
    <w:rsid w:val="00236C74"/>
    <w:rsid w:val="002531FA"/>
    <w:rsid w:val="00266A65"/>
    <w:rsid w:val="002C20EE"/>
    <w:rsid w:val="003675E2"/>
    <w:rsid w:val="003938D9"/>
    <w:rsid w:val="003E3C26"/>
    <w:rsid w:val="003F0BAD"/>
    <w:rsid w:val="003F713F"/>
    <w:rsid w:val="00462DEF"/>
    <w:rsid w:val="00465D1B"/>
    <w:rsid w:val="0046686D"/>
    <w:rsid w:val="004C7074"/>
    <w:rsid w:val="004E4AC5"/>
    <w:rsid w:val="00502A78"/>
    <w:rsid w:val="00505938"/>
    <w:rsid w:val="0051531E"/>
    <w:rsid w:val="00541B4E"/>
    <w:rsid w:val="00566BB9"/>
    <w:rsid w:val="005819D8"/>
    <w:rsid w:val="00590DF5"/>
    <w:rsid w:val="005B043C"/>
    <w:rsid w:val="00600710"/>
    <w:rsid w:val="00600BBB"/>
    <w:rsid w:val="006177E3"/>
    <w:rsid w:val="00630390"/>
    <w:rsid w:val="006379F4"/>
    <w:rsid w:val="006936F5"/>
    <w:rsid w:val="006D08A2"/>
    <w:rsid w:val="006D5654"/>
    <w:rsid w:val="007115A9"/>
    <w:rsid w:val="00715FC7"/>
    <w:rsid w:val="007375DD"/>
    <w:rsid w:val="00776DF1"/>
    <w:rsid w:val="00822353"/>
    <w:rsid w:val="00837AF3"/>
    <w:rsid w:val="00886776"/>
    <w:rsid w:val="0095344B"/>
    <w:rsid w:val="00A00727"/>
    <w:rsid w:val="00A133C9"/>
    <w:rsid w:val="00AA5CCE"/>
    <w:rsid w:val="00AF1877"/>
    <w:rsid w:val="00B10995"/>
    <w:rsid w:val="00B30975"/>
    <w:rsid w:val="00B644D3"/>
    <w:rsid w:val="00B8306D"/>
    <w:rsid w:val="00B95927"/>
    <w:rsid w:val="00BB6454"/>
    <w:rsid w:val="00C57CFE"/>
    <w:rsid w:val="00C61172"/>
    <w:rsid w:val="00C729BF"/>
    <w:rsid w:val="00C80530"/>
    <w:rsid w:val="00C82470"/>
    <w:rsid w:val="00C86107"/>
    <w:rsid w:val="00C91EE9"/>
    <w:rsid w:val="00CA0240"/>
    <w:rsid w:val="00CD4005"/>
    <w:rsid w:val="00D05E17"/>
    <w:rsid w:val="00D10B50"/>
    <w:rsid w:val="00D202F8"/>
    <w:rsid w:val="00D55867"/>
    <w:rsid w:val="00D9094F"/>
    <w:rsid w:val="00DE3DF2"/>
    <w:rsid w:val="00E3692A"/>
    <w:rsid w:val="00E70960"/>
    <w:rsid w:val="00E7454C"/>
    <w:rsid w:val="00E77923"/>
    <w:rsid w:val="00EB43A6"/>
    <w:rsid w:val="00F37939"/>
    <w:rsid w:val="00F57377"/>
    <w:rsid w:val="00F63C9D"/>
    <w:rsid w:val="00F95B9C"/>
    <w:rsid w:val="00FC5D2F"/>
    <w:rsid w:val="00FD16E7"/>
    <w:rsid w:val="00FD687C"/>
    <w:rsid w:val="00FF0F92"/>
    <w:rsid w:val="00FF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8E871"/>
  <w15:chartTrackingRefBased/>
  <w15:docId w15:val="{F0FC1ED3-BFEF-412C-ADBF-4A08579F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24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0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0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2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2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2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2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A0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A0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2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2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2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2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2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2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240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CA02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2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2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24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CA0240"/>
    <w:pPr>
      <w:tabs>
        <w:tab w:val="center" w:pos="4320"/>
        <w:tab w:val="right" w:pos="8640"/>
      </w:tabs>
    </w:pPr>
    <w:rPr>
      <w:rFonts w:ascii="Univers (W1)" w:hAnsi="Univers (W1)"/>
      <w:sz w:val="20"/>
      <w:szCs w:val="20"/>
      <w:lang w:val="en-GB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A0240"/>
    <w:rPr>
      <w:rFonts w:ascii="Univers (W1)" w:eastAsia="Times New Roman" w:hAnsi="Univers (W1)" w:cs="Times New Roman"/>
      <w:kern w:val="0"/>
      <w:sz w:val="20"/>
      <w:szCs w:val="20"/>
      <w:lang w:val="en-GB" w:eastAsia="x-none"/>
      <w14:ligatures w14:val="none"/>
    </w:rPr>
  </w:style>
  <w:style w:type="paragraph" w:styleId="MessageHeader">
    <w:name w:val="Message Header"/>
    <w:basedOn w:val="BodyText"/>
    <w:link w:val="MessageHeaderChar"/>
    <w:rsid w:val="00CA0240"/>
    <w:pPr>
      <w:keepLines/>
      <w:spacing w:after="0" w:line="415" w:lineRule="atLeast"/>
      <w:ind w:left="1560" w:hanging="720"/>
    </w:pPr>
    <w:rPr>
      <w:sz w:val="20"/>
      <w:szCs w:val="20"/>
      <w:lang w:val="en-GB" w:eastAsia="x-none"/>
    </w:rPr>
  </w:style>
  <w:style w:type="character" w:customStyle="1" w:styleId="MessageHeaderChar">
    <w:name w:val="Message Header Char"/>
    <w:basedOn w:val="DefaultParagraphFont"/>
    <w:link w:val="MessageHeader"/>
    <w:rsid w:val="00CA0240"/>
    <w:rPr>
      <w:rFonts w:ascii="Times New Roman" w:eastAsia="Times New Roman" w:hAnsi="Times New Roman" w:cs="Times New Roman"/>
      <w:kern w:val="0"/>
      <w:sz w:val="20"/>
      <w:szCs w:val="20"/>
      <w:lang w:val="en-GB" w:eastAsia="x-none"/>
      <w14:ligatures w14:val="none"/>
    </w:rPr>
  </w:style>
  <w:style w:type="character" w:customStyle="1" w:styleId="MessageHeaderLabel">
    <w:name w:val="Message Header Label"/>
    <w:rsid w:val="00CA0240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99"/>
    <w:semiHidden/>
    <w:unhideWhenUsed/>
    <w:rsid w:val="00CA024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A0240"/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CA0240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CA0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0240"/>
    <w:pPr>
      <w:spacing w:after="160"/>
    </w:pPr>
    <w:rPr>
      <w:rFonts w:ascii="Calibri" w:eastAsia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240"/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CA0240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CA0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240"/>
    <w:rPr>
      <w:rFonts w:ascii="Times New Roman" w:eastAsia="Times New Roman" w:hAnsi="Times New Roman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024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024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CA0240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CA0240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A024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A0240"/>
    <w:pPr>
      <w:spacing w:after="100"/>
      <w:ind w:left="240"/>
    </w:pPr>
  </w:style>
  <w:style w:type="character" w:styleId="Hyperlink">
    <w:name w:val="Hyperlink"/>
    <w:uiPriority w:val="99"/>
    <w:unhideWhenUsed/>
    <w:rsid w:val="00CA0240"/>
    <w:rPr>
      <w:color w:val="0563C1"/>
      <w:u w:val="single"/>
    </w:rPr>
  </w:style>
  <w:style w:type="paragraph" w:styleId="NoSpacing">
    <w:name w:val="No Spacing"/>
    <w:uiPriority w:val="1"/>
    <w:qFormat/>
    <w:rsid w:val="00CA0240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Revision">
    <w:name w:val="Revision"/>
    <w:hidden/>
    <w:uiPriority w:val="99"/>
    <w:semiHidden/>
    <w:rsid w:val="00CA024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240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24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Default">
    <w:name w:val="Default"/>
    <w:basedOn w:val="Normal"/>
    <w:rsid w:val="00CA0240"/>
    <w:pPr>
      <w:autoSpaceDE w:val="0"/>
      <w:autoSpaceDN w:val="0"/>
    </w:pPr>
    <w:rPr>
      <w:rFonts w:ascii="Calibri" w:eastAsia="Calibri" w:hAnsi="Calibri" w:cs="Calibri"/>
      <w:color w:val="000000"/>
    </w:rPr>
  </w:style>
  <w:style w:type="character" w:styleId="UnresolvedMention">
    <w:name w:val="Unresolved Mention"/>
    <w:uiPriority w:val="99"/>
    <w:semiHidden/>
    <w:unhideWhenUsed/>
    <w:rsid w:val="00CA0240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CA0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7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25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69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8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0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8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8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2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ketingcommunications@9psb.com.n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ketingcommunications@9psb.com.n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ADFED-17B5-4779-A537-B35B6F40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Mracajac</dc:creator>
  <cp:keywords/>
  <dc:description/>
  <cp:lastModifiedBy>Ikechukwu Ugwu</cp:lastModifiedBy>
  <cp:revision>2</cp:revision>
  <cp:lastPrinted>2024-10-31T18:03:00Z</cp:lastPrinted>
  <dcterms:created xsi:type="dcterms:W3CDTF">2025-01-02T09:22:00Z</dcterms:created>
  <dcterms:modified xsi:type="dcterms:W3CDTF">2025-01-02T09:22:00Z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060fd4-8245-4b04-9199-427b8da58839_Enabled">
    <vt:lpwstr>true</vt:lpwstr>
  </property>
  <property fmtid="{D5CDD505-2E9C-101B-9397-08002B2CF9AE}" pid="3" name="MSIP_Label_d0060fd4-8245-4b04-9199-427b8da58839_SetDate">
    <vt:lpwstr>2024-10-31T13:19:34Z</vt:lpwstr>
  </property>
  <property fmtid="{D5CDD505-2E9C-101B-9397-08002B2CF9AE}" pid="4" name="MSIP_Label_d0060fd4-8245-4b04-9199-427b8da58839_Method">
    <vt:lpwstr>Privileged</vt:lpwstr>
  </property>
  <property fmtid="{D5CDD505-2E9C-101B-9397-08002B2CF9AE}" pid="5" name="MSIP_Label_d0060fd4-8245-4b04-9199-427b8da58839_Name">
    <vt:lpwstr>Public</vt:lpwstr>
  </property>
  <property fmtid="{D5CDD505-2E9C-101B-9397-08002B2CF9AE}" pid="6" name="MSIP_Label_d0060fd4-8245-4b04-9199-427b8da58839_SiteId">
    <vt:lpwstr>4ab80ab2-712d-49b3-83b1-46c532dcab11</vt:lpwstr>
  </property>
  <property fmtid="{D5CDD505-2E9C-101B-9397-08002B2CF9AE}" pid="7" name="MSIP_Label_d0060fd4-8245-4b04-9199-427b8da58839_ActionId">
    <vt:lpwstr>e1d49b2f-f119-4a26-a272-f80c86ed1b73</vt:lpwstr>
  </property>
  <property fmtid="{D5CDD505-2E9C-101B-9397-08002B2CF9AE}" pid="8" name="MSIP_Label_d0060fd4-8245-4b04-9199-427b8da58839_ContentBits">
    <vt:lpwstr>0</vt:lpwstr>
  </property>
</Properties>
</file>